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BC59" w14:textId="538E3ED0" w:rsidR="00AA29D2" w:rsidRDefault="00AA29D2" w:rsidP="00587B57">
      <w:pPr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Załącznik </w:t>
      </w:r>
      <w:r w:rsidR="00121CB6">
        <w:rPr>
          <w:rFonts w:ascii="TimesNewRoman" w:hAnsi="TimesNewRoman" w:cs="TimesNewRoman"/>
        </w:rPr>
        <w:t xml:space="preserve">nr 1 </w:t>
      </w:r>
      <w:r>
        <w:rPr>
          <w:rFonts w:ascii="TimesNewRoman" w:hAnsi="TimesNewRoman" w:cs="TimesNewRoman"/>
        </w:rPr>
        <w:t xml:space="preserve">do decyzji MRiRW nr </w:t>
      </w:r>
      <w:r w:rsidR="00121CB6" w:rsidRPr="00121CB6">
        <w:rPr>
          <w:rFonts w:ascii="TimesNewRoman" w:hAnsi="TimesNewRoman" w:cs="TimesNewRoman"/>
        </w:rPr>
        <w:t>R</w:t>
      </w:r>
      <w:r w:rsidR="00121CB6">
        <w:rPr>
          <w:rFonts w:ascii="TimesNewRoman" w:hAnsi="TimesNewRoman" w:cs="TimesNewRoman"/>
        </w:rPr>
        <w:t xml:space="preserve"> </w:t>
      </w:r>
      <w:r w:rsidR="00121CB6" w:rsidRPr="00121CB6">
        <w:rPr>
          <w:rFonts w:ascii="TimesNewRoman" w:hAnsi="TimesNewRoman" w:cs="TimesNewRoman"/>
        </w:rPr>
        <w:t>-</w:t>
      </w:r>
      <w:r w:rsidR="00121CB6">
        <w:rPr>
          <w:rFonts w:ascii="TimesNewRoman" w:hAnsi="TimesNewRoman" w:cs="TimesNewRoman"/>
        </w:rPr>
        <w:t xml:space="preserve"> </w:t>
      </w:r>
      <w:r w:rsidR="00121CB6" w:rsidRPr="00121CB6">
        <w:rPr>
          <w:rFonts w:ascii="TimesNewRoman" w:hAnsi="TimesNewRoman" w:cs="TimesNewRoman"/>
        </w:rPr>
        <w:t xml:space="preserve">276/2021d z dnia </w:t>
      </w:r>
      <w:r w:rsidR="00587B57">
        <w:rPr>
          <w:rFonts w:ascii="TimesNewRoman" w:hAnsi="TimesNewRoman" w:cs="TimesNewRoman"/>
        </w:rPr>
        <w:t>18</w:t>
      </w:r>
      <w:r w:rsidR="00121CB6" w:rsidRPr="00121CB6">
        <w:rPr>
          <w:rFonts w:ascii="TimesNewRoman" w:hAnsi="TimesNewRoman" w:cs="TimesNewRoman"/>
        </w:rPr>
        <w:t>.06.2021 r.</w:t>
      </w:r>
    </w:p>
    <w:p w14:paraId="54027A86" w14:textId="77777777" w:rsidR="00AA29D2" w:rsidRDefault="00AA29D2" w:rsidP="00121CB6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zmieniającej zezwolenie MRiRW nr R - 33/2010 z dnia 19.04.2010 r.</w:t>
      </w:r>
    </w:p>
    <w:p w14:paraId="1B37A844" w14:textId="77777777" w:rsidR="00AA29D2" w:rsidRDefault="00AA29D2" w:rsidP="00121CB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0AF12414" w14:textId="59D6A9A9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Posiadacz zezwolenia:</w:t>
      </w:r>
    </w:p>
    <w:p w14:paraId="6001C05F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BASF SE, Carl - Bosch - Straße 38, 67056 Ludwigshafen, Republika Federalna Niemiec, tel.: +49 621</w:t>
      </w:r>
    </w:p>
    <w:p w14:paraId="3E3DE3B0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lang w:val="en-US"/>
        </w:rPr>
      </w:pPr>
      <w:r w:rsidRPr="00AA29D2">
        <w:rPr>
          <w:rFonts w:ascii="TimesNewRoman" w:hAnsi="TimesNewRoman" w:cs="TimesNewRoman"/>
          <w:lang w:val="en-US"/>
        </w:rPr>
        <w:t>60-0, fax: +49 621-42525; e - mail: info.service@basf.com</w:t>
      </w:r>
    </w:p>
    <w:p w14:paraId="601C3ED0" w14:textId="77777777" w:rsidR="003750CA" w:rsidRPr="009122DA" w:rsidRDefault="003750CA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lang w:val="en-US"/>
        </w:rPr>
      </w:pPr>
    </w:p>
    <w:p w14:paraId="6754B558" w14:textId="166948D8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Podmiot wprowadzający środek ochrony roślin na terytorium Rzeczypospolitej Polskiej:</w:t>
      </w:r>
    </w:p>
    <w:p w14:paraId="37BDEC14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BASF Polska Sp. z.o.o., Al. Jerozolimskie 142B, 02-305 Warszawa, tel.: 22 570 99 99, fax: 22 570 97</w:t>
      </w:r>
    </w:p>
    <w:p w14:paraId="0C167F74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92, e-mail: poczta@basf.com</w:t>
      </w:r>
    </w:p>
    <w:p w14:paraId="183498C7" w14:textId="77777777" w:rsidR="003750CA" w:rsidRDefault="003750CA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562443DB" w14:textId="36A2A22E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Podmiot odpowiedzialny za końcowe pakowanie i etykietowanie środka ochrony roślin:</w:t>
      </w:r>
    </w:p>
    <w:p w14:paraId="484C03AC" w14:textId="646817DA" w:rsidR="00AA29D2" w:rsidRDefault="00121CB6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(…)</w:t>
      </w:r>
    </w:p>
    <w:p w14:paraId="08C6AA42" w14:textId="77777777" w:rsidR="003750CA" w:rsidRDefault="003750CA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2735B288" w14:textId="34D5CA82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Podmiot odpowiedzialny za końcowe etykietowanie środka ochrony roślin:</w:t>
      </w:r>
    </w:p>
    <w:p w14:paraId="20579C60" w14:textId="77777777" w:rsidR="00121CB6" w:rsidRDefault="00121CB6" w:rsidP="00121CB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(…)</w:t>
      </w:r>
    </w:p>
    <w:p w14:paraId="154A819A" w14:textId="665AB8B9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416D91DC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1BAC4B0B" w14:textId="77777777" w:rsidR="00AA29D2" w:rsidRPr="003750CA" w:rsidRDefault="00AA29D2" w:rsidP="00AA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0CA">
        <w:rPr>
          <w:rFonts w:ascii="Times New Roman" w:hAnsi="Times New Roman" w:cs="Times New Roman"/>
          <w:b/>
          <w:bCs/>
          <w:sz w:val="32"/>
          <w:szCs w:val="32"/>
        </w:rPr>
        <w:t>SIGNUM 33 WG</w:t>
      </w:r>
    </w:p>
    <w:p w14:paraId="3933B8A9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1AE50A3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C79B3F" w14:textId="103FFBDF" w:rsidR="00AA29D2" w:rsidRPr="00AE4B29" w:rsidRDefault="00AA29D2" w:rsidP="0037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E4B29">
        <w:rPr>
          <w:rFonts w:ascii="Times New Roman" w:hAnsi="Times New Roman" w:cs="Times New Roman"/>
          <w:u w:val="single"/>
        </w:rPr>
        <w:t>Środek przeznaczony do stosowania przez użytkowników profesjonalnych.</w:t>
      </w:r>
    </w:p>
    <w:p w14:paraId="30A81AEB" w14:textId="20730B0E" w:rsidR="003750CA" w:rsidRDefault="003750CA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7BED34" w14:textId="77777777" w:rsidR="00AE4B29" w:rsidRDefault="00AE4B29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9B86D7" w14:textId="487E4EF6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29D2">
        <w:rPr>
          <w:rFonts w:ascii="Times New Roman" w:hAnsi="Times New Roman" w:cs="Times New Roman"/>
        </w:rPr>
        <w:t>Zawartość substancji czynnych:</w:t>
      </w:r>
    </w:p>
    <w:p w14:paraId="3090E6D5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29D2">
        <w:rPr>
          <w:rFonts w:ascii="Times New Roman" w:hAnsi="Times New Roman" w:cs="Times New Roman"/>
        </w:rPr>
        <w:t>boskalid (związek z grupy anilidów) - 267 g/kg (26,7%)</w:t>
      </w:r>
    </w:p>
    <w:p w14:paraId="41F4559E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29D2">
        <w:rPr>
          <w:rFonts w:ascii="Times New Roman" w:hAnsi="Times New Roman" w:cs="Times New Roman"/>
        </w:rPr>
        <w:t>piraklostrobina (związek z grupy strobiluryn) - 67 g/kg (6,7%)</w:t>
      </w:r>
    </w:p>
    <w:p w14:paraId="44FEBE34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C83F6E" w14:textId="77777777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8558E0" w14:textId="7BD3A75B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29D2">
        <w:rPr>
          <w:rFonts w:ascii="Times New Roman" w:hAnsi="Times New Roman" w:cs="Times New Roman"/>
          <w:b/>
          <w:bCs/>
        </w:rPr>
        <w:t>Zezwolenie MRiRW nr R - 33/2010 z dnia 19.04.2010 r.</w:t>
      </w:r>
    </w:p>
    <w:p w14:paraId="77AF7857" w14:textId="222319B2" w:rsidR="00AA29D2" w:rsidRPr="00AA29D2" w:rsidRDefault="00AA29D2" w:rsidP="00AA2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29D2">
        <w:rPr>
          <w:rFonts w:ascii="Times New Roman" w:hAnsi="Times New Roman" w:cs="Times New Roman"/>
          <w:b/>
          <w:bCs/>
        </w:rPr>
        <w:t xml:space="preserve">ostatnio zmienione decyzją MRiRW </w:t>
      </w:r>
      <w:r w:rsidR="00FF4403" w:rsidRPr="00FF4403">
        <w:rPr>
          <w:rFonts w:ascii="Times New Roman" w:hAnsi="Times New Roman" w:cs="Times New Roman"/>
          <w:b/>
          <w:bCs/>
        </w:rPr>
        <w:t xml:space="preserve">nr </w:t>
      </w:r>
      <w:r w:rsidR="00587B57" w:rsidRPr="00587B57">
        <w:rPr>
          <w:rFonts w:ascii="Times New Roman" w:hAnsi="Times New Roman" w:cs="Times New Roman"/>
          <w:b/>
          <w:bCs/>
        </w:rPr>
        <w:t>R - 276/2021d z dnia 18.06.2021 r.</w:t>
      </w:r>
    </w:p>
    <w:p w14:paraId="066B7001" w14:textId="449589AD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7CF7A14" w14:textId="77777777" w:rsidR="003750CA" w:rsidRDefault="003750CA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45"/>
      </w:tblGrid>
      <w:tr w:rsidR="003750CA" w14:paraId="084A4C94" w14:textId="77777777" w:rsidTr="009122DA">
        <w:tc>
          <w:tcPr>
            <w:tcW w:w="8500" w:type="dxa"/>
            <w:gridSpan w:val="2"/>
          </w:tcPr>
          <w:p w14:paraId="376DBF22" w14:textId="0D441B6A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D6EAC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8DC7745" wp14:editId="0CD849AB">
                  <wp:extent cx="752475" cy="7810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0CA" w14:paraId="1A4A263E" w14:textId="77777777" w:rsidTr="009122DA">
        <w:tc>
          <w:tcPr>
            <w:tcW w:w="8500" w:type="dxa"/>
            <w:gridSpan w:val="2"/>
          </w:tcPr>
          <w:p w14:paraId="34040BEC" w14:textId="6D314B13" w:rsidR="003750CA" w:rsidRPr="003750CA" w:rsidRDefault="003750CA" w:rsidP="003750CA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b/>
                <w:bCs/>
              </w:rPr>
            </w:pPr>
            <w:r w:rsidRPr="003750CA">
              <w:rPr>
                <w:rFonts w:ascii="TimesNewRoman" w:hAnsi="TimesNewRoman" w:cs="TimesNewRoman"/>
                <w:b/>
                <w:bCs/>
              </w:rPr>
              <w:t>Uwaga</w:t>
            </w:r>
          </w:p>
        </w:tc>
      </w:tr>
      <w:tr w:rsidR="003750CA" w14:paraId="646FD844" w14:textId="77777777" w:rsidTr="009122DA">
        <w:tc>
          <w:tcPr>
            <w:tcW w:w="1555" w:type="dxa"/>
          </w:tcPr>
          <w:p w14:paraId="29A9D345" w14:textId="5D020DAA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H410</w:t>
            </w:r>
          </w:p>
        </w:tc>
        <w:tc>
          <w:tcPr>
            <w:tcW w:w="6945" w:type="dxa"/>
          </w:tcPr>
          <w:p w14:paraId="731AC120" w14:textId="57F7772E" w:rsidR="003750CA" w:rsidRDefault="003750CA" w:rsidP="00BC64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Działa bardzo toksycznie na organizmy wodne, powodując długotrwałe skutki.</w:t>
            </w:r>
          </w:p>
        </w:tc>
      </w:tr>
      <w:tr w:rsidR="003750CA" w14:paraId="14A9FEB7" w14:textId="77777777" w:rsidTr="009122DA">
        <w:tc>
          <w:tcPr>
            <w:tcW w:w="1555" w:type="dxa"/>
          </w:tcPr>
          <w:p w14:paraId="31C89B6B" w14:textId="3DB787BD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EUH 401</w:t>
            </w:r>
          </w:p>
        </w:tc>
        <w:tc>
          <w:tcPr>
            <w:tcW w:w="6945" w:type="dxa"/>
          </w:tcPr>
          <w:p w14:paraId="77FF353B" w14:textId="46E1A85E" w:rsidR="003750CA" w:rsidRDefault="003750CA" w:rsidP="00BC64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 celu uniknięcia zagrożeń dla zdrowia ludzi i środowiska, należy postępować zgodnie z instrukcją użycia.</w:t>
            </w:r>
          </w:p>
        </w:tc>
      </w:tr>
      <w:tr w:rsidR="003750CA" w14:paraId="0C3A1285" w14:textId="77777777" w:rsidTr="009122DA">
        <w:tc>
          <w:tcPr>
            <w:tcW w:w="1555" w:type="dxa"/>
          </w:tcPr>
          <w:p w14:paraId="589D63B5" w14:textId="58912C00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P280</w:t>
            </w:r>
          </w:p>
        </w:tc>
        <w:tc>
          <w:tcPr>
            <w:tcW w:w="6945" w:type="dxa"/>
          </w:tcPr>
          <w:p w14:paraId="2906FD8F" w14:textId="0A65A533" w:rsidR="003750CA" w:rsidRDefault="003750CA" w:rsidP="003750C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Stosować odzież ochronną.</w:t>
            </w:r>
          </w:p>
        </w:tc>
      </w:tr>
      <w:tr w:rsidR="003750CA" w14:paraId="037D6DA2" w14:textId="77777777" w:rsidTr="009122DA">
        <w:tc>
          <w:tcPr>
            <w:tcW w:w="1555" w:type="dxa"/>
          </w:tcPr>
          <w:p w14:paraId="2AE53B4E" w14:textId="77777777" w:rsidR="003750CA" w:rsidRDefault="003750CA" w:rsidP="00AA29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6945" w:type="dxa"/>
          </w:tcPr>
          <w:p w14:paraId="3720E1A6" w14:textId="04C9A466" w:rsidR="003750CA" w:rsidRDefault="003750CA" w:rsidP="003750C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Zebrać rozsypany produkt.</w:t>
            </w:r>
          </w:p>
        </w:tc>
      </w:tr>
    </w:tbl>
    <w:p w14:paraId="1CC830FC" w14:textId="77777777" w:rsidR="003750CA" w:rsidRDefault="003750CA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4B5C63B" w14:textId="26E8D732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OPIS DZIAŁANIA</w:t>
      </w:r>
    </w:p>
    <w:p w14:paraId="2C82B501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FUNGICYD w formie granul do sporządzania zawiesiny wodnej(WG) o działaniu układowym do</w:t>
      </w:r>
    </w:p>
    <w:p w14:paraId="2D66AC99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stosowania zapobiegawczego i interwencyjnego w zwalczaniu chorób.</w:t>
      </w:r>
    </w:p>
    <w:p w14:paraId="374A5C37" w14:textId="77777777" w:rsidR="00B63C03" w:rsidRDefault="00B63C03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14:paraId="56F83D20" w14:textId="4A3A3D31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STOSOWANIE ŚRODKA</w:t>
      </w:r>
    </w:p>
    <w:p w14:paraId="230179DB" w14:textId="04437B59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Środek przeznaczony do stosowania przy użyciu samobieżnych lub ciągnikowych opryskiwaczy</w:t>
      </w:r>
      <w:r w:rsidR="00B63C0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polowych lub sadowniczych oraz opryskiwaczy ręcznych.</w:t>
      </w:r>
    </w:p>
    <w:p w14:paraId="0AAC9BAE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Ziemniak</w:t>
      </w:r>
    </w:p>
    <w:p w14:paraId="152650D2" w14:textId="77777777" w:rsidR="00AA29D2" w:rsidRPr="00855008" w:rsidRDefault="00AA29D2" w:rsidP="0085500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55008">
        <w:rPr>
          <w:rFonts w:ascii="Times New Roman" w:hAnsi="Times New Roman" w:cs="Times New Roman"/>
          <w:i/>
          <w:iCs/>
        </w:rPr>
        <w:t>Alternarioza ziemniaka</w:t>
      </w:r>
    </w:p>
    <w:p w14:paraId="79F74BB9" w14:textId="77777777" w:rsidR="00AA29D2" w:rsidRPr="00855008" w:rsidRDefault="00AA29D2" w:rsidP="008550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Maksymalna / zalecana dawka dla jednorazowego zastosowania: 0,25 kg/ha.</w:t>
      </w:r>
    </w:p>
    <w:p w14:paraId="0FC0217E" w14:textId="77777777" w:rsidR="00AA29D2" w:rsidRPr="00855008" w:rsidRDefault="00AA29D2" w:rsidP="0085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Termin stosowania środka: Środek stosować zapobiegawczo na plantacjach odmian wrażliwych lub w</w:t>
      </w:r>
    </w:p>
    <w:p w14:paraId="58D19133" w14:textId="77777777" w:rsidR="00AA29D2" w:rsidRPr="00855008" w:rsidRDefault="00AA29D2" w:rsidP="0085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momencie pojawienia się pierwszych objawów choroby, na dolnych liściach, jednak nie wcześniej niż</w:t>
      </w:r>
    </w:p>
    <w:p w14:paraId="213FD6A8" w14:textId="4CF7C159" w:rsidR="00AA29D2" w:rsidRPr="00855008" w:rsidRDefault="00AA29D2" w:rsidP="008550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od początku fazy rozwoju kwiatostanu ziemniaka (BBCH 51). Nie należy stosować środka po</w:t>
      </w:r>
      <w:r w:rsidR="00855008">
        <w:rPr>
          <w:rFonts w:ascii="Times New Roman" w:hAnsi="Times New Roman" w:cs="Times New Roman"/>
        </w:rPr>
        <w:t xml:space="preserve"> </w:t>
      </w:r>
      <w:r w:rsidRPr="00855008">
        <w:rPr>
          <w:rFonts w:ascii="Times New Roman" w:hAnsi="Times New Roman" w:cs="Times New Roman"/>
        </w:rPr>
        <w:t>rozpoczęciu dojrzewania owoców i nasion (BBCH 81).</w:t>
      </w:r>
    </w:p>
    <w:p w14:paraId="291AB417" w14:textId="77777777" w:rsidR="00AA29D2" w:rsidRPr="00855008" w:rsidRDefault="00AA29D2" w:rsidP="0085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Zalecana ilość wody: 200-400 l/ha.</w:t>
      </w:r>
    </w:p>
    <w:p w14:paraId="007B8DA8" w14:textId="77777777" w:rsidR="00AA29D2" w:rsidRPr="00855008" w:rsidRDefault="00AA29D2" w:rsidP="000A67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Zalecane opryskiwanie: drobnokropliste.</w:t>
      </w:r>
    </w:p>
    <w:p w14:paraId="4E810399" w14:textId="77777777" w:rsidR="000A67BC" w:rsidRPr="00855008" w:rsidRDefault="000A67BC" w:rsidP="000A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Maksymalna liczba zabiegów w sezonie wegetacyjnym: 4.</w:t>
      </w:r>
    </w:p>
    <w:p w14:paraId="4673DA13" w14:textId="77777777" w:rsidR="000A67BC" w:rsidRPr="00855008" w:rsidRDefault="000A67BC" w:rsidP="000A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008">
        <w:rPr>
          <w:rFonts w:ascii="Times New Roman" w:hAnsi="Times New Roman" w:cs="Times New Roman"/>
        </w:rPr>
        <w:t>Odstęp między zabiegami: co najmniej 10 dni.</w:t>
      </w:r>
    </w:p>
    <w:p w14:paraId="4031F556" w14:textId="77777777" w:rsidR="00B63C03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1EF61B75" w14:textId="2BDFB510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Cebula</w:t>
      </w:r>
    </w:p>
    <w:p w14:paraId="62881E89" w14:textId="77777777" w:rsidR="00AA29D2" w:rsidRDefault="00AA29D2" w:rsidP="000A67BC">
      <w:pPr>
        <w:autoSpaceDE w:val="0"/>
        <w:autoSpaceDN w:val="0"/>
        <w:adjustRightInd w:val="0"/>
        <w:spacing w:before="120" w:after="12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Mączniak rzekomy, alternarioza, ogranicza występowanie Stemphylium</w:t>
      </w:r>
    </w:p>
    <w:p w14:paraId="1B085A9B" w14:textId="77777777" w:rsidR="00AA29D2" w:rsidRDefault="00AA29D2" w:rsidP="000A67BC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Maksymalna / zalecana dawka dla jednorazowego zastosowania: 1 kg/ha.</w:t>
      </w:r>
    </w:p>
    <w:p w14:paraId="2A88AC99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Termin stosowania: środek stosować od fazy wyraźnie widocznego 3-ciego liścia do fazy gdy 50%</w:t>
      </w:r>
    </w:p>
    <w:p w14:paraId="58523D93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liści zgina się (BBCH 13-48). Pierwszy zabieg wykonać zapobiegawczo zgodnie z sygnalizacją lub</w:t>
      </w:r>
    </w:p>
    <w:p w14:paraId="661121FE" w14:textId="77777777" w:rsidR="00AA29D2" w:rsidRDefault="00AA29D2" w:rsidP="000A67BC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 chwilą pojawienia się pierwszych objawów choroby.</w:t>
      </w:r>
    </w:p>
    <w:p w14:paraId="3A51F533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Zalecana ilość wody: 600 – 800 l/ha.</w:t>
      </w:r>
    </w:p>
    <w:p w14:paraId="75387CE4" w14:textId="77777777" w:rsidR="00AA29D2" w:rsidRDefault="00AA29D2" w:rsidP="000A67BC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Zalecane opryskiwanie: drobnokropliste.</w:t>
      </w:r>
    </w:p>
    <w:p w14:paraId="131C2F17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Maksymalna liczba zabiegów w sezonie wegetacyjnym: 3.</w:t>
      </w:r>
    </w:p>
    <w:p w14:paraId="3B474D5D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Odstęp między zabiegami: co najmniej 7 dni.</w:t>
      </w:r>
    </w:p>
    <w:p w14:paraId="5BA2E581" w14:textId="77777777" w:rsidR="00B63C03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396FB19E" w14:textId="579DCBDE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4DAA">
        <w:rPr>
          <w:rFonts w:ascii="Times New Roman" w:hAnsi="Times New Roman" w:cs="Times New Roman"/>
          <w:b/>
          <w:bCs/>
        </w:rPr>
        <w:t>Kapusta głowiasta</w:t>
      </w:r>
    </w:p>
    <w:p w14:paraId="0CFDC328" w14:textId="77777777" w:rsidR="00AA29D2" w:rsidRPr="00E74DAA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E74DAA">
        <w:rPr>
          <w:rFonts w:ascii="Times New Roman" w:hAnsi="Times New Roman" w:cs="Times New Roman"/>
          <w:i/>
          <w:iCs/>
        </w:rPr>
        <w:t>Czerń krzyżowych, szara pleśń</w:t>
      </w:r>
    </w:p>
    <w:p w14:paraId="7E349751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Maksymalna dawka dla jednorazowego zastosowania: 1 kg/ha.</w:t>
      </w:r>
    </w:p>
    <w:p w14:paraId="429DEAB3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Zalecana dawka dla jednorazowego zastosowania: 0,75 – 1 kg/ha.</w:t>
      </w:r>
    </w:p>
    <w:p w14:paraId="3F419AA3" w14:textId="77777777" w:rsidR="00AA29D2" w:rsidRPr="00E74DAA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Wyższą dawkę środka stosować w przypadku większego zagrożenia chorobami.</w:t>
      </w:r>
    </w:p>
    <w:p w14:paraId="71907F30" w14:textId="7F06FDCD" w:rsidR="00AA29D2" w:rsidRPr="00E74DAA" w:rsidRDefault="00AA29D2" w:rsidP="00D44B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Termin stosowania: środek stosować od fazy gdy zaczyna się tworzyć główka do fazy gdy główka</w:t>
      </w:r>
      <w:r w:rsidR="00D44BB7">
        <w:rPr>
          <w:rFonts w:ascii="Times New Roman" w:hAnsi="Times New Roman" w:cs="Times New Roman"/>
        </w:rPr>
        <w:t xml:space="preserve"> </w:t>
      </w:r>
      <w:r w:rsidRPr="00E74DAA">
        <w:rPr>
          <w:rFonts w:ascii="Times New Roman" w:hAnsi="Times New Roman" w:cs="Times New Roman"/>
        </w:rPr>
        <w:t>osiąga typową wielkość, kształt i twardość (BBCH 41-49). Pierwszy zabieg wykonać zapobiegawczo</w:t>
      </w:r>
      <w:r w:rsidR="00D44BB7">
        <w:rPr>
          <w:rFonts w:ascii="Times New Roman" w:hAnsi="Times New Roman" w:cs="Times New Roman"/>
        </w:rPr>
        <w:t xml:space="preserve"> </w:t>
      </w:r>
      <w:r w:rsidRPr="00E74DAA">
        <w:rPr>
          <w:rFonts w:ascii="Times New Roman" w:hAnsi="Times New Roman" w:cs="Times New Roman"/>
        </w:rPr>
        <w:t>zgodnie z sygnalizacją lub z chwilą pojawienia się pierwszych objawów choroby.</w:t>
      </w:r>
    </w:p>
    <w:p w14:paraId="4F6C3E76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Zalecana ilość wody: 600 – 800 l/ha.</w:t>
      </w:r>
    </w:p>
    <w:p w14:paraId="06A50F9C" w14:textId="77777777" w:rsidR="00AA29D2" w:rsidRPr="00E74DAA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Zalecane opryskiwanie: drobnokropliste.</w:t>
      </w:r>
    </w:p>
    <w:p w14:paraId="055485E1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Maksymalna liczba zabiegów w sezonie wegetacyjnym: 3.</w:t>
      </w:r>
    </w:p>
    <w:p w14:paraId="16A0B0AE" w14:textId="77777777" w:rsidR="00AA29D2" w:rsidRPr="00E74DAA" w:rsidRDefault="00AA29D2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4DAA">
        <w:rPr>
          <w:rFonts w:ascii="Times New Roman" w:hAnsi="Times New Roman" w:cs="Times New Roman"/>
        </w:rPr>
        <w:t>Odstęp między zabiegami: co najmniej 7 dni.</w:t>
      </w:r>
    </w:p>
    <w:p w14:paraId="4EEAFF52" w14:textId="77777777" w:rsidR="00B63C03" w:rsidRPr="00E74DAA" w:rsidRDefault="00B63C03" w:rsidP="00E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A6AF92" w14:textId="134B683F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Marchew</w:t>
      </w:r>
    </w:p>
    <w:p w14:paraId="6EAA3BE5" w14:textId="77777777" w:rsidR="00AA29D2" w:rsidRDefault="00AA29D2" w:rsidP="004D19F3">
      <w:pPr>
        <w:autoSpaceDE w:val="0"/>
        <w:autoSpaceDN w:val="0"/>
        <w:adjustRightInd w:val="0"/>
        <w:spacing w:before="120" w:after="120" w:line="240" w:lineRule="auto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>Alternarioza naci, mączniak prawdziwy</w:t>
      </w:r>
    </w:p>
    <w:p w14:paraId="13C8A174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Maksymalna dawka dla jednorazowego zastosowania: 1 kg/ha.</w:t>
      </w:r>
    </w:p>
    <w:p w14:paraId="12E689EE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Zalecana dawka dla jednorazowego zastosowania: 0,75 – 1 kg/ha.</w:t>
      </w:r>
    </w:p>
    <w:p w14:paraId="31461813" w14:textId="77777777" w:rsidR="00AA29D2" w:rsidRDefault="00AA29D2" w:rsidP="00D44BB7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Wyższą dawkę środka stosować w przypadku większego zagrożenia chorobami.</w:t>
      </w:r>
    </w:p>
    <w:p w14:paraId="6916559C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Termin stosowania: środek stosować od fazy gdy korzenie zaczynają się poszerzać do fazy gdy korzeń</w:t>
      </w:r>
    </w:p>
    <w:p w14:paraId="456DFCE3" w14:textId="0FF3D07D" w:rsidR="00AA29D2" w:rsidRDefault="00AA29D2" w:rsidP="00D44BB7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osiąga typową wielkość i kształt (BBCH 41-49). Pierwszy zabieg wykonać zapobiegawczo zgodnie z</w:t>
      </w:r>
      <w:r w:rsidR="002034D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sygnalizacją lub z chwilą pojawienia się pierwszych objawów choroby.</w:t>
      </w:r>
    </w:p>
    <w:p w14:paraId="278B6822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Zalecana ilość wody: 600 – 800 l/ha.</w:t>
      </w:r>
    </w:p>
    <w:p w14:paraId="2A26A7C3" w14:textId="77777777" w:rsidR="00AA29D2" w:rsidRDefault="00AA29D2" w:rsidP="00D4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Zalecane opryskiwanie: drobnokropliste.</w:t>
      </w:r>
    </w:p>
    <w:p w14:paraId="27FE9B4A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Maksymalna liczba zabiegów w sezonie wegetacyjnym: 2.</w:t>
      </w:r>
    </w:p>
    <w:p w14:paraId="36ED1314" w14:textId="77777777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Odstęp między zabiegami: co najmniej 7 dni.</w:t>
      </w:r>
    </w:p>
    <w:p w14:paraId="62C2713B" w14:textId="77777777" w:rsidR="00B63C03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4001C520" w14:textId="2851BCBD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Pomidor uprawiany w polu</w:t>
      </w:r>
    </w:p>
    <w:p w14:paraId="1EF44048" w14:textId="77777777" w:rsidR="00AA29D2" w:rsidRPr="004D19F3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Zaraza ziemniaka, alternarioza</w:t>
      </w:r>
    </w:p>
    <w:p w14:paraId="1B52D3F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dawka dla jednorazowego zastosowania: 1,5 kg/ha.</w:t>
      </w:r>
    </w:p>
    <w:p w14:paraId="539A5AFC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dawka dla jednorazowego zastosowania: 1 – 1,5 kg/ha.</w:t>
      </w:r>
    </w:p>
    <w:p w14:paraId="63A14E7C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Wyższą dawkę środka stosować w przypadku większego zagrożenia chorobami.</w:t>
      </w:r>
    </w:p>
    <w:p w14:paraId="3E4CDC30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od fazy gdy widoczny jest pierwszy kwiatostan do fazy gdy 50%</w:t>
      </w:r>
    </w:p>
    <w:p w14:paraId="395E5E1A" w14:textId="43CF7703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owoców uzyskuje typową barwę (BBCH 51-85). W zwalczaniu zarazy ziemniaka pierwszy zabieg</w:t>
      </w:r>
      <w:r w:rsidR="004D19F3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wykonać zapobiegawczo zgodnie z sygnalizacją lub po wystąpieniu pierwszych objawów choroby na</w:t>
      </w:r>
    </w:p>
    <w:p w14:paraId="744CDB1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wczesnych odmianach ziemniaka w danym rejonie.</w:t>
      </w:r>
    </w:p>
    <w:p w14:paraId="437E04C8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 zwalczaniu alternariozy środek stosować zapobiegawczo zgodnie z sygnalizacją lub natychmiast po</w:t>
      </w:r>
    </w:p>
    <w:p w14:paraId="548A3735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wystąpieniu pierwszych objawów choroby.</w:t>
      </w:r>
    </w:p>
    <w:p w14:paraId="5574E231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600 – 800 l/ha.</w:t>
      </w:r>
    </w:p>
    <w:p w14:paraId="001647E6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71D0EAB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3.</w:t>
      </w:r>
    </w:p>
    <w:p w14:paraId="76C9561B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7 dni.</w:t>
      </w:r>
    </w:p>
    <w:p w14:paraId="124D89FC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F93961" w14:textId="587EC4B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Pomidor uprawiany pod osłonami</w:t>
      </w:r>
    </w:p>
    <w:p w14:paraId="081B038D" w14:textId="77777777" w:rsidR="00AA29D2" w:rsidRPr="004D19F3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Szara pleśń, zaraza ziemniaka</w:t>
      </w:r>
    </w:p>
    <w:p w14:paraId="0F63EC60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Maksymalne / zalecane stężenie dla jednorazowego zastosowania: 0,2% (200 g w 100 l wody).</w:t>
      </w:r>
    </w:p>
    <w:p w14:paraId="076FE28A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od fazy gdy widoczny jest pierwszy kwiatostan do fazy gdy 50%</w:t>
      </w:r>
    </w:p>
    <w:p w14:paraId="797C7FEB" w14:textId="1BC73338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owoców uzyskuje typową barwę (BBCH 51-85). Pierwszy zabieg wykonać zapobiegawczo lub z</w:t>
      </w:r>
      <w:r w:rsidR="004D19F3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chwilą pojawienia się pierwszych objawów choroby.</w:t>
      </w:r>
    </w:p>
    <w:p w14:paraId="38445328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Dawka cieczy użytkowej: 100 l /1000 m</w:t>
      </w:r>
      <w:r w:rsidRPr="004D19F3">
        <w:rPr>
          <w:rFonts w:ascii="Times New Roman" w:hAnsi="Times New Roman" w:cs="Times New Roman"/>
          <w:vertAlign w:val="superscript"/>
        </w:rPr>
        <w:t>2</w:t>
      </w:r>
      <w:r w:rsidRPr="004D19F3">
        <w:rPr>
          <w:rFonts w:ascii="Times New Roman" w:hAnsi="Times New Roman" w:cs="Times New Roman"/>
        </w:rPr>
        <w:t>.</w:t>
      </w:r>
    </w:p>
    <w:p w14:paraId="3036F7E1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Ilość cieczy użytkowej dostosować do wysokości roślin.</w:t>
      </w:r>
    </w:p>
    <w:p w14:paraId="47D03E1E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2.</w:t>
      </w:r>
    </w:p>
    <w:p w14:paraId="1AEBD466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7 dni.</w:t>
      </w:r>
    </w:p>
    <w:p w14:paraId="4CA29468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401C2D" w14:textId="43B3326F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Truskawka</w:t>
      </w:r>
    </w:p>
    <w:p w14:paraId="0A85E35C" w14:textId="77777777" w:rsidR="00AA29D2" w:rsidRPr="004D19F3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Szara pleśń, biała plamistość liści truskawki, mączniak prawdziwy truskawki</w:t>
      </w:r>
    </w:p>
    <w:p w14:paraId="4D70014F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/ zalecana dawka dla jednorazowego zastosowania: 1,8 kg/ha.</w:t>
      </w:r>
    </w:p>
    <w:p w14:paraId="5CEF1913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Liczba zabiegów: 2.</w:t>
      </w:r>
    </w:p>
    <w:p w14:paraId="5BA1E4E3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5 dni.</w:t>
      </w:r>
    </w:p>
    <w:p w14:paraId="6CD6C363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od początku do końca fazy kwitnienia (BBCH 60-81).</w:t>
      </w:r>
    </w:p>
    <w:p w14:paraId="06128E86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500 – 700 l/ha.</w:t>
      </w:r>
    </w:p>
    <w:p w14:paraId="10F27157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3FF2D519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 uwzględniająca zastosowanie środka z dalszej</w:t>
      </w:r>
    </w:p>
    <w:p w14:paraId="61E5E64A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części etykiety: 2.</w:t>
      </w:r>
    </w:p>
    <w:p w14:paraId="4A5BFDC3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C0864A" w14:textId="14242995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Wiśnia</w:t>
      </w:r>
    </w:p>
    <w:p w14:paraId="33ECA3D1" w14:textId="77777777" w:rsidR="00AA29D2" w:rsidRPr="004D19F3" w:rsidRDefault="00AA29D2" w:rsidP="004D19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Brunatna zgnilizna drzew pestkowych</w:t>
      </w:r>
    </w:p>
    <w:p w14:paraId="18556816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dawka dla jednorazowego zastosowania: 1 kg/ha.</w:t>
      </w:r>
    </w:p>
    <w:p w14:paraId="1F86E1B2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dawka dla jednorazowego zastosowania: 0,75 – 1 kg/ha.</w:t>
      </w:r>
    </w:p>
    <w:p w14:paraId="49C4B906" w14:textId="6F87ADFE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lastRenderedPageBreak/>
        <w:t>Termin stosowania: Pierwszy zabieg wykonać na początku kwitnienia (w okresie rozchylania się</w:t>
      </w:r>
      <w:r w:rsidR="004D19F3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pierwszych pąków) (BBCH 60), drugi zabieg należy wykonać w fazie pełni kwitnienia (BBCH 67).</w:t>
      </w:r>
    </w:p>
    <w:p w14:paraId="1AFAFD5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500 - 750 l/ha.</w:t>
      </w:r>
    </w:p>
    <w:p w14:paraId="29D5A422" w14:textId="77777777" w:rsidR="00AA29D2" w:rsidRPr="004D19F3" w:rsidRDefault="00AA29D2" w:rsidP="004D19F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7D8A2454" w14:textId="77777777" w:rsidR="004D19F3" w:rsidRPr="004D19F3" w:rsidRDefault="004D19F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2.</w:t>
      </w:r>
    </w:p>
    <w:p w14:paraId="37A0942A" w14:textId="77777777" w:rsidR="004D19F3" w:rsidRPr="004D19F3" w:rsidRDefault="004D19F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5 dni.</w:t>
      </w:r>
    </w:p>
    <w:p w14:paraId="49517A89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0688AB" w14:textId="46230A5D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Malina</w:t>
      </w:r>
    </w:p>
    <w:p w14:paraId="09B5B335" w14:textId="77777777" w:rsidR="00AA29D2" w:rsidRPr="004D19F3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Szara pleśń, przypąkowe zamieranie pędów maliny</w:t>
      </w:r>
    </w:p>
    <w:p w14:paraId="1AA8BCBE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W przypadku przypąkowego zamierania pędów maliny środek wykazuje średni poziom zwalczania.</w:t>
      </w:r>
    </w:p>
    <w:p w14:paraId="565D793F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/ zalecana dawka dla jednorazowego zastosowania: 1,8 kg/ha.</w:t>
      </w:r>
    </w:p>
    <w:p w14:paraId="5D6ECC47" w14:textId="06567701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od fazy gdy pąki kwiatowe są zamknięte do końca fazy gdy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wszystkie owoce są zebrane (BBCH 51-90). Środek stosować zapobiegawczo lub z chwilą pojawienia</w:t>
      </w:r>
    </w:p>
    <w:p w14:paraId="7E9FB820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się pierwszych objawów choroby.</w:t>
      </w:r>
    </w:p>
    <w:p w14:paraId="506798E3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Do zwalczania szarej pleśni środek stosować od początku fazy kwitnienia (BBCH 61).</w:t>
      </w:r>
    </w:p>
    <w:p w14:paraId="77ECD72D" w14:textId="301923B8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Do zwalczania przypąkowego zamierania pędów maliny pierwszy zabieg wykonać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przed kwitnieniem, gdy nowe pędy osiągną wysokość 10-20 cm (BBCH 51), kolejne zabiegi wykonać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w okresie kwitnienia (BBCH 61-69) lub po zbiorze owoców, po wycięciu starych pędów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owoconośnych (BBCH 89-90).</w:t>
      </w:r>
    </w:p>
    <w:p w14:paraId="5407DF2B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600 - 700 l/ha.</w:t>
      </w:r>
    </w:p>
    <w:p w14:paraId="4D095E58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7B753B1E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2.</w:t>
      </w:r>
    </w:p>
    <w:p w14:paraId="5B69F65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Odstęp między zabiegami: co najmniej 7 dni.</w:t>
      </w:r>
    </w:p>
    <w:p w14:paraId="28537DBE" w14:textId="77777777" w:rsidR="00B63C03" w:rsidRPr="004D19F3" w:rsidRDefault="00B63C03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1C5EF8" w14:textId="55D6B10F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9F3">
        <w:rPr>
          <w:rFonts w:ascii="Times New Roman" w:hAnsi="Times New Roman" w:cs="Times New Roman"/>
          <w:b/>
          <w:bCs/>
        </w:rPr>
        <w:t>Czarna porzeczka</w:t>
      </w:r>
    </w:p>
    <w:p w14:paraId="5A741121" w14:textId="77777777" w:rsidR="00AA29D2" w:rsidRPr="004D19F3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D19F3">
        <w:rPr>
          <w:rFonts w:ascii="Times New Roman" w:hAnsi="Times New Roman" w:cs="Times New Roman"/>
          <w:i/>
          <w:iCs/>
        </w:rPr>
        <w:t>Antraknoza (opadzina) liści porzeczki, rdza wejmutkowo-porzeczkowa</w:t>
      </w:r>
    </w:p>
    <w:p w14:paraId="31C2124E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Środek wykazuje średni poziom zwalczania.</w:t>
      </w:r>
    </w:p>
    <w:p w14:paraId="7D4502B7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/ zalecana dawka dla jednorazowego zastosowania: 1,8 kg/ha.</w:t>
      </w:r>
    </w:p>
    <w:p w14:paraId="5B86122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7CEEA91A" w14:textId="65F39EF4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choroby. Pierwszy zabieg należy wykonać bezpośrednio przed kwitnieniem (BBCH 55-59), kolejny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po kwitnieniu (BBCH 69-90).</w:t>
      </w:r>
    </w:p>
    <w:p w14:paraId="6ADA4759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Zalecana ilość wody: 600 - 800 l/ha.</w:t>
      </w:r>
    </w:p>
    <w:p w14:paraId="52F019BE" w14:textId="77777777" w:rsidR="00AA29D2" w:rsidRPr="004D19F3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Zalecane opryskiwanie: drobnokropliste.</w:t>
      </w:r>
    </w:p>
    <w:p w14:paraId="601863F7" w14:textId="77777777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>Maksymalna liczba zabiegów w sezonie wegetacyjnym: 2.</w:t>
      </w:r>
    </w:p>
    <w:p w14:paraId="22BFE1AF" w14:textId="6CEE15A6" w:rsidR="00AA29D2" w:rsidRPr="004D19F3" w:rsidRDefault="00AA29D2" w:rsidP="004D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9F3">
        <w:rPr>
          <w:rFonts w:ascii="Times New Roman" w:hAnsi="Times New Roman" w:cs="Times New Roman"/>
        </w:rPr>
        <w:t xml:space="preserve">Odstęp między zabiegami: 7 </w:t>
      </w:r>
      <w:r w:rsidR="00836CA7">
        <w:rPr>
          <w:rFonts w:ascii="Times New Roman" w:hAnsi="Times New Roman" w:cs="Times New Roman"/>
        </w:rPr>
        <w:t>–</w:t>
      </w:r>
      <w:r w:rsidRPr="004D19F3">
        <w:rPr>
          <w:rFonts w:ascii="Times New Roman" w:hAnsi="Times New Roman" w:cs="Times New Roman"/>
        </w:rPr>
        <w:t xml:space="preserve"> 10</w:t>
      </w:r>
      <w:r w:rsidR="00836CA7">
        <w:rPr>
          <w:rFonts w:ascii="Times New Roman" w:hAnsi="Times New Roman" w:cs="Times New Roman"/>
        </w:rPr>
        <w:t xml:space="preserve"> </w:t>
      </w:r>
      <w:r w:rsidRPr="004D19F3">
        <w:rPr>
          <w:rFonts w:ascii="Times New Roman" w:hAnsi="Times New Roman" w:cs="Times New Roman"/>
        </w:rPr>
        <w:t>dni.</w:t>
      </w:r>
    </w:p>
    <w:p w14:paraId="2921F6C1" w14:textId="70CC81EA" w:rsidR="00B63C03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70A0DC60" w14:textId="77777777" w:rsidR="00D44BB7" w:rsidRPr="00D44BB7" w:rsidRDefault="00D44BB7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3641C014" w14:textId="260BAE14" w:rsidR="00AA29D2" w:rsidRDefault="00AA29D2" w:rsidP="00B63C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STOSOWANIE ŚRODKA OCHRONY ROŚLIN W UPRAWACH</w:t>
      </w:r>
    </w:p>
    <w:p w14:paraId="1372A060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 ZASTOSOWANIACH MAŁOOBSZAROWYCH</w:t>
      </w:r>
    </w:p>
    <w:p w14:paraId="1379E99C" w14:textId="77777777" w:rsidR="00B63C03" w:rsidRPr="00D44BB7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2F7F45F0" w14:textId="17041A84" w:rsidR="00AA29D2" w:rsidRDefault="00AA29D2" w:rsidP="00B63C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Odpowiedzialność za skuteczność działania i fitotoksyczność środka ochrony roślin</w:t>
      </w:r>
    </w:p>
    <w:p w14:paraId="40AAD178" w14:textId="77777777" w:rsidR="00AA29D2" w:rsidRDefault="00AA29D2" w:rsidP="00B63C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stosowanego w uprawach małoobszarowych ponosi wyłącznie jego użytkownik</w:t>
      </w:r>
    </w:p>
    <w:p w14:paraId="77E515D0" w14:textId="77777777" w:rsidR="00B63C03" w:rsidRPr="00D44BB7" w:rsidRDefault="00B63C03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7432B4CB" w14:textId="4703CD3A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Pasternak, pietruszka korzeniowa</w:t>
      </w:r>
    </w:p>
    <w:p w14:paraId="584EC588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Alternarioza naci, mączniak prawdziwy</w:t>
      </w:r>
    </w:p>
    <w:p w14:paraId="60FCE0EC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14E1E8CC" w14:textId="33ADD87A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Termin stosowania: środek stosować od fazy 5-tego liścia do końca fazy, gdy korzeń osiągnie typową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wielkość i kształt (BBCH 15-49). Pierwszy zabieg wykonać zapobiegawczo lub z chwilą pojawienia</w:t>
      </w:r>
      <w:r w:rsidR="00EA55A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się pierwszych objawów choroby.</w:t>
      </w:r>
    </w:p>
    <w:p w14:paraId="39AC98F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D757182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206B2040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48C0EAB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5D31FBAA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F9B33E" w14:textId="7D771A1E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Burak ćwikłowy</w:t>
      </w:r>
    </w:p>
    <w:p w14:paraId="255E2AEA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Mączniak prawdziwy</w:t>
      </w:r>
    </w:p>
    <w:p w14:paraId="28A1213C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30031469" w14:textId="76DA4F45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5-tego liścia do końca fazy, gdy korzeń osiągnie typową</w:t>
      </w:r>
      <w:r w:rsid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wielkość i kształt (BBCH 15-49). Pierwszy zabieg wykonać zapobiegawczo lub z chwilą pojawienia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się pierwszych objawów choroby.</w:t>
      </w:r>
    </w:p>
    <w:p w14:paraId="0132D4A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16155367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B2D617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27022AA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02395EE0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2A2A6C" w14:textId="619091E1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Seler korzeniowy</w:t>
      </w:r>
    </w:p>
    <w:p w14:paraId="01AA331A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Zgnilizna twardzikowa</w:t>
      </w:r>
    </w:p>
    <w:p w14:paraId="797712F5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6D209415" w14:textId="597E7C12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5-tego liścia do końca fazy, gdy korzeń osiągnie typową</w:t>
      </w:r>
      <w:r w:rsid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wielkość i kształt (BBCH 15-49). Pierwszy zabieg wykonać zapobiegawczo lub z chwilą pojawienia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się pierwszych objawów choroby.</w:t>
      </w:r>
    </w:p>
    <w:p w14:paraId="15DDE49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7C972B2D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E6051A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6028B07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16D0BB20" w14:textId="77777777" w:rsidR="00836CA7" w:rsidRPr="00D44BB7" w:rsidRDefault="00836CA7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0654F8" w14:textId="5D1557A8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Rzodkiewka uprawiana w polu</w:t>
      </w:r>
    </w:p>
    <w:p w14:paraId="51F6671D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</w:t>
      </w:r>
    </w:p>
    <w:p w14:paraId="74DEA623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C988E6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239C6289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7C4F0B22" w14:textId="17ECA56F" w:rsidR="00AA29D2" w:rsidRPr="00836CA7" w:rsidRDefault="00AA29D2" w:rsidP="00EA5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pierwszego liścia do końca fazy, gdy korzeń osiągnie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typową wielkość i kształt (BBCH 11-49). Pierwszy zabieg wykonać zapobiegawczo lub z chwilą</w:t>
      </w:r>
      <w:r w:rsidR="00836CA7" w:rsidRPr="00836CA7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7F6B100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49540144" w14:textId="77777777" w:rsidR="00AA29D2" w:rsidRPr="00836CA7" w:rsidRDefault="00AA29D2" w:rsidP="00EA55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36C1643F" w14:textId="77777777" w:rsidR="00AA29D2" w:rsidRPr="00836CA7" w:rsidRDefault="00AA29D2" w:rsidP="00EA5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342F96DC" w14:textId="77777777" w:rsidR="00AA29D2" w:rsidRPr="00836CA7" w:rsidRDefault="00AA29D2" w:rsidP="00EA5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w stadium 1-2 liści właściwych (BBCH 11-12).</w:t>
      </w:r>
    </w:p>
    <w:p w14:paraId="20BB44D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B4C1065" w14:textId="77777777" w:rsidR="00AA29D2" w:rsidRPr="00836CA7" w:rsidRDefault="00AA29D2" w:rsidP="00EA5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01DBFF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rzodkiewki: 2.</w:t>
      </w:r>
    </w:p>
    <w:p w14:paraId="505964CE" w14:textId="5CF018DD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lastRenderedPageBreak/>
        <w:t>Szczypiorek</w:t>
      </w:r>
    </w:p>
    <w:p w14:paraId="107D0E07" w14:textId="77777777" w:rsidR="00AA29D2" w:rsidRPr="00836CA7" w:rsidRDefault="00AA29D2" w:rsidP="001A34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288FD832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01F46795" w14:textId="21FDE1BC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1836717C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7BAC57E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liścia do początku powstawania pędu kwiatowego (BBCH</w:t>
      </w:r>
    </w:p>
    <w:p w14:paraId="648155F5" w14:textId="5EE30449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13-47). Pierwszy zabieg wykonać zapobiegawczo lub z chwilą pojawienia się pierwszych objawów</w:t>
      </w:r>
      <w:r w:rsidR="001A3430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choroby.</w:t>
      </w:r>
    </w:p>
    <w:p w14:paraId="50CB7A02" w14:textId="77777777" w:rsidR="00AA29D2" w:rsidRPr="00836CA7" w:rsidRDefault="00AA29D2" w:rsidP="001A34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29148F0C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4C07D8E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379D5AE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liścia do początku powstawania pędu kwiatowego (BBCH</w:t>
      </w:r>
    </w:p>
    <w:p w14:paraId="2AB5DB44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13-47). Zabieg wykonać zapobiegawczo lub z chwilą pojawienia się pierwszych objawów choroby.</w:t>
      </w:r>
    </w:p>
    <w:p w14:paraId="1DA976C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093E772E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C6ECCB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szczypiorku: 2.</w:t>
      </w:r>
    </w:p>
    <w:p w14:paraId="08E665BA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B1753C" w14:textId="23C99F06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Brokuł</w:t>
      </w:r>
    </w:p>
    <w:p w14:paraId="0FEB3AF8" w14:textId="77777777" w:rsidR="00AA29D2" w:rsidRPr="00836CA7" w:rsidRDefault="00AA29D2" w:rsidP="001A34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krzyżowych, bielik krzyżowych</w:t>
      </w:r>
    </w:p>
    <w:p w14:paraId="4E41EA1A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51BEC62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fazy, gdy róża osiągnie 70% typowej</w:t>
      </w:r>
    </w:p>
    <w:p w14:paraId="1EC4B6C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</w:p>
    <w:p w14:paraId="7BA51714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0773673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714B295A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B7E5E60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69F76C4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6DBB618C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02C7AC" w14:textId="09D93B0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Kalafior</w:t>
      </w:r>
    </w:p>
    <w:p w14:paraId="09B2FB70" w14:textId="77777777" w:rsidR="00AA29D2" w:rsidRPr="00836CA7" w:rsidRDefault="00AA29D2" w:rsidP="001A34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krzyżowych, bielik krzyżowych</w:t>
      </w:r>
    </w:p>
    <w:p w14:paraId="3264A505" w14:textId="77777777" w:rsidR="00AA29D2" w:rsidRPr="00836CA7" w:rsidRDefault="00AA29D2" w:rsidP="001A34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7509B2CA" w14:textId="6F4C349C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fazy, gdy róża osiągnie 70% typowej</w:t>
      </w:r>
      <w:r w:rsidR="001A3430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1A3430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101CF5E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2119460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776065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45DDD47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5EB35793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2C3D5B" w14:textId="489A336A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Kalarepa</w:t>
      </w:r>
    </w:p>
    <w:p w14:paraId="3E3AB662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</w:t>
      </w:r>
    </w:p>
    <w:p w14:paraId="6D739DC6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78F13E85" w14:textId="3D4A3A0B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Termin stosowania: środek stosować od 3 liści do końca fazy, gdy zgrubienie osiągnie 70% typowej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59F85C3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7F78DF7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F0E15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3A5F526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53F7D13B" w14:textId="77777777" w:rsidR="0061176A" w:rsidRPr="00836CA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FE8A2B" w14:textId="21339C1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Kapusta brukselska</w:t>
      </w:r>
    </w:p>
    <w:p w14:paraId="72078C54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</w:t>
      </w:r>
    </w:p>
    <w:p w14:paraId="269F6442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369695D8" w14:textId="189361FB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fazy, gdy główka osiągnie 70% typowej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49FF412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60746703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CA0CE1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700FD0D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7E0A3EFC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CC1C87" w14:textId="6522AB1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Kapusta pekińska</w:t>
      </w:r>
    </w:p>
    <w:p w14:paraId="166F3F16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Czerń krzyżowych, szara pleśń</w:t>
      </w:r>
    </w:p>
    <w:p w14:paraId="44D3F2E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dawka dla jednorazowego zastosowania: 1,0 kg/ha.</w:t>
      </w:r>
    </w:p>
    <w:p w14:paraId="12196AF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dawka dla jednorazowego zastosowania: 0,75 – 1,0 kg/ha.</w:t>
      </w:r>
    </w:p>
    <w:p w14:paraId="74288B25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Wyższą dawkę środka stosować w przypadku większego zagrożenia chorobami.</w:t>
      </w:r>
    </w:p>
    <w:p w14:paraId="04E2DA7C" w14:textId="38949EB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gdy zaczyna się tworzyć główka do fazy gdy główka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osiąga typową wielkość, kształt i twardość (BBCH 41-49). Pierwszy zabieg wykonać zapobiegawczo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zgodnie z sygnalizacją lub z chwilą pojawienia się pierwszych objawów choroby w czasie formowania</w:t>
      </w:r>
    </w:p>
    <w:p w14:paraId="0DE471AF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się główek.</w:t>
      </w:r>
    </w:p>
    <w:p w14:paraId="0FEA079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– 800 l/ha.</w:t>
      </w:r>
    </w:p>
    <w:p w14:paraId="2032DEFD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AA158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7AC4FA8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7 dni.</w:t>
      </w:r>
    </w:p>
    <w:p w14:paraId="4B2C95A4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CCF419" w14:textId="6A1F3B2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Por</w:t>
      </w:r>
    </w:p>
    <w:p w14:paraId="5EBD4D1B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Rdza pora, fytoftoroza pora, alternarioza pora</w:t>
      </w:r>
    </w:p>
    <w:p w14:paraId="1F43DF8D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6AD80746" w14:textId="75343260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liścia do końca fazy, gdy roślina osiągnie 70% typowej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7C9BF6A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06521FA4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794884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383C0FD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208694D0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395A7D" w14:textId="08758BF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Cebula siedmiolatka</w:t>
      </w:r>
    </w:p>
    <w:p w14:paraId="7A515901" w14:textId="77777777" w:rsidR="00AA29D2" w:rsidRPr="00836CA7" w:rsidRDefault="00AA29D2" w:rsidP="007165B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Rdza pora, fytoftoroza pora na cebuli, alternarioza cebuli</w:t>
      </w:r>
    </w:p>
    <w:p w14:paraId="1DD07546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Maksymalna / zalecana dawka dla jednorazowego zastosowania: 1,5 kg/ha.</w:t>
      </w:r>
    </w:p>
    <w:p w14:paraId="4988064A" w14:textId="4FD37072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liścia do końca fazy, gdy roślina osiągnie 70% typowej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wielkości (BBCH 13-47). Pierwszy zabieg wykonać zapobiegawczo, zgodnie z sygnalizacją, lub</w:t>
      </w:r>
      <w:r w:rsidR="007165B6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02662C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4BDC4F0" w14:textId="77777777" w:rsidR="00AA29D2" w:rsidRPr="00836CA7" w:rsidRDefault="00AA29D2" w:rsidP="007165B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F38EB8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5413443B" w14:textId="6607B77E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2952C227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2D5F35" w14:textId="04BEDDE1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Szalotka</w:t>
      </w:r>
    </w:p>
    <w:p w14:paraId="21AA2A94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Mączniak rzekomy, alternarioza, ogranicza występowanie Stemphylium</w:t>
      </w:r>
    </w:p>
    <w:p w14:paraId="18303DB2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 kg/ha.</w:t>
      </w:r>
    </w:p>
    <w:p w14:paraId="296BEFD3" w14:textId="53D24CA4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fazy wyraźnie widocznego 3 liścia do fazy gdy 50% liści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rośliny zgina się (BBCH 13-48). Pierwszy zabieg wykonać zapobiegawczo zgodnie z sygnalizacją lub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 chwilą pojawienia się pierwszych objawów choroby.</w:t>
      </w:r>
    </w:p>
    <w:p w14:paraId="2CDC2DD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– 800 l/ha.</w:t>
      </w:r>
    </w:p>
    <w:p w14:paraId="15D6A5A9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69E0C1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584314C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7 dni.</w:t>
      </w:r>
    </w:p>
    <w:p w14:paraId="7E0296B8" w14:textId="77777777" w:rsidR="0061176A" w:rsidRPr="00D44BB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807C72" w14:textId="66EF1B98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Szparagi</w:t>
      </w:r>
    </w:p>
    <w:p w14:paraId="7C32E1B3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</w:t>
      </w:r>
    </w:p>
    <w:p w14:paraId="47098A63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3B21ED4" w14:textId="6227122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Ochronę prowadzić po zbiorach wypustek, w czasie wzrostu pędów (BBCH 69-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93). Pierwszy zabieg wykonać po pojawieniu się objawów choroby (najczęściej na przełomie lipca i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sierpnia).</w:t>
      </w:r>
    </w:p>
    <w:p w14:paraId="23557D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1B4444B" w14:textId="77777777" w:rsidR="00AA29D2" w:rsidRPr="00836CA7" w:rsidRDefault="00AA29D2" w:rsidP="00666EF1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BACC4D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4E09476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21-28 dni.</w:t>
      </w:r>
    </w:p>
    <w:p w14:paraId="3E980B62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04EA39" w14:textId="445CFE64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Sałata, endywia uprawiane w polu</w:t>
      </w:r>
    </w:p>
    <w:p w14:paraId="389A6233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15B62209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07446F2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67687092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2CB38F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 liściowej</w:t>
      </w:r>
    </w:p>
    <w:p w14:paraId="1A4142F6" w14:textId="13680EC8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typowej dla odmiany (BBCH 13-47). Pierwszy zabieg wykonać zapobiegawczo lub z chwilą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54B29D6D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634E3211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9E39D5A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3C18641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 liściowej</w:t>
      </w:r>
    </w:p>
    <w:p w14:paraId="3E7DEFC5" w14:textId="52D2651D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typowej dla odmiany (BBCH 13-47). Zabieg wykonać zapobiegawczo lub z chwilą pojawienia się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pierwszych objawów choroby.</w:t>
      </w:r>
    </w:p>
    <w:p w14:paraId="00643DA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209DBE0E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E90F42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sałaty i endywii: 2.</w:t>
      </w:r>
    </w:p>
    <w:p w14:paraId="13BF95D9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F2846E" w14:textId="3B9D11C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Szpinak</w:t>
      </w:r>
    </w:p>
    <w:p w14:paraId="67CF661F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Plamistości liści</w:t>
      </w:r>
    </w:p>
    <w:p w14:paraId="1A8D9E56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7392CAA1" w14:textId="4966FCFE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liściowej typowej dla odmiany (BBCH 13-47). Pierwszy zabieg wykonać zapobiegawczo lub z chwilą</w:t>
      </w:r>
      <w:r w:rsidR="00666EF1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6174732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B738CBE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2AEB377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1CBC371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14 dni.</w:t>
      </w:r>
    </w:p>
    <w:p w14:paraId="43FC2826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9A12D1" w14:textId="3DD2330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Koper</w:t>
      </w:r>
    </w:p>
    <w:p w14:paraId="60D0D53C" w14:textId="77777777" w:rsidR="00AA29D2" w:rsidRPr="00836CA7" w:rsidRDefault="00AA29D2" w:rsidP="00666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46913BA2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CA991B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2047E77C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018836E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61AEC788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w fazie 1-2 liści właściwych (BBCH 15-49).</w:t>
      </w:r>
    </w:p>
    <w:p w14:paraId="09298C2B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19F311CF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CFEF0EB" w14:textId="77777777" w:rsidR="00AA29D2" w:rsidRPr="00836CA7" w:rsidRDefault="00AA29D2" w:rsidP="00666E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7B6D1C1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</w:p>
    <w:p w14:paraId="23DCA64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w fazie 1-2 liści właściwych (BBCH 15-49), zwłaszcza</w:t>
      </w:r>
    </w:p>
    <w:p w14:paraId="62E4DE78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 warunkach wysokiej wilgotności i niskiej temperatury powietrza.</w:t>
      </w:r>
    </w:p>
    <w:p w14:paraId="01377D2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8C94005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BA9ED8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kopru: 2.</w:t>
      </w:r>
    </w:p>
    <w:p w14:paraId="5222B0C1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099CE5" w14:textId="37E47329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Pietruszka naciowa</w:t>
      </w:r>
    </w:p>
    <w:p w14:paraId="18D4E306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3A160AF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7AAF588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33E43917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556EFF8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1E4E6FAF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(BBCH 13-46).</w:t>
      </w:r>
    </w:p>
    <w:p w14:paraId="421F4D8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45EE6D1E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66DCE46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Liczba zabiegów: 1.</w:t>
      </w:r>
    </w:p>
    <w:p w14:paraId="17D442BC" w14:textId="1B031B9C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choroby, zwykle na początku okresu wegetacji (BBCH 13-46), zwłaszcza w warunkach wysokiej</w:t>
      </w:r>
    </w:p>
    <w:p w14:paraId="4510D83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wilgotności i niskiej temperatury powietrza.</w:t>
      </w:r>
    </w:p>
    <w:p w14:paraId="3242F55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DCA07A1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A93983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pietruszki naciowej: 2.</w:t>
      </w:r>
    </w:p>
    <w:p w14:paraId="155DC81A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431898" w14:textId="17E3B32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Seler naciowy</w:t>
      </w:r>
    </w:p>
    <w:p w14:paraId="08137C47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33E05A1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0ECC49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563E1949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275CF63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345E56A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(BBCH 15-49).</w:t>
      </w:r>
    </w:p>
    <w:p w14:paraId="222F00C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003D063F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4025445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70BC03A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</w:p>
    <w:p w14:paraId="1750D0D2" w14:textId="7C254531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(BBCH 15-49), zwłaszcza w warunkach wysokiej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wilgotności i niskiej temperatury powietrza.</w:t>
      </w:r>
    </w:p>
    <w:p w14:paraId="1267D07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33B47C2F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2E0CD79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selera naciowego: 2.</w:t>
      </w:r>
    </w:p>
    <w:p w14:paraId="21DAD1DE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B77E64" w14:textId="49D23F7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Rukola</w:t>
      </w:r>
    </w:p>
    <w:p w14:paraId="4378A78E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06C0DBA4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2FB6C90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124A7F4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73A5D697" w14:textId="777A3E8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choroby, zwykle na początku okresu wegetacji (BBCH 13-47).</w:t>
      </w:r>
    </w:p>
    <w:p w14:paraId="3C264FE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24D4EE52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7C7949C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5E9CEFD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</w:p>
    <w:p w14:paraId="0BD3062A" w14:textId="6D286EF4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choroby, zwykle na początku okresu wegetacji (BBCH 13-47), zwłaszcza w warunkach wysokiej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wilgotności i niskiej temperatury powietrza.</w:t>
      </w:r>
    </w:p>
    <w:p w14:paraId="39A0246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4FA1E85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15A8E9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rukoli: 2.</w:t>
      </w:r>
    </w:p>
    <w:p w14:paraId="5DDAEC5B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1E34C4" w14:textId="62B1E63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Rzodkiewka uprawiana pod osłonami</w:t>
      </w:r>
    </w:p>
    <w:p w14:paraId="53DB1639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lastRenderedPageBreak/>
        <w:t>Szara pleśń, rizoktonioza</w:t>
      </w:r>
    </w:p>
    <w:p w14:paraId="16F06C70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1299E31A" w14:textId="671A7609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od fazy pierwszego liścia do końca fazy, gdy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zgrubienie osiągnie typową wielkość i kształt (BBCH 11-49), lub z chwilą pojawienia się pierwszych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objawów choroby.</w:t>
      </w:r>
    </w:p>
    <w:p w14:paraId="34AA23B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7E288043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72CD7C4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1.</w:t>
      </w:r>
    </w:p>
    <w:p w14:paraId="4980684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26A0D0" w14:textId="32AA475C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Papryka, bakłażan uprawiane pod osłonami</w:t>
      </w:r>
    </w:p>
    <w:p w14:paraId="31F3392A" w14:textId="5E2CDC5B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twardzikowa, mączniak prawdziwy</w:t>
      </w:r>
    </w:p>
    <w:p w14:paraId="5AE4CB09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5C4152F0" w14:textId="0B833320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wystąpienia rozwiniętego drugiego liścia właściwego na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pędzie głównym do końca fazy gdy owoce mają typową barwę (BBCH 12-89). Pierwszy zabieg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wykonać zapobiegawczo, zgodnie z sygnalizacją, lub z chwilą pojawienia się pierwszych objawów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choroby.</w:t>
      </w:r>
    </w:p>
    <w:p w14:paraId="5117B1F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1000 l/ha.</w:t>
      </w:r>
    </w:p>
    <w:p w14:paraId="1512C5A5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0C3502E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68BD98C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7-10 dni.</w:t>
      </w:r>
    </w:p>
    <w:p w14:paraId="6E27FAE0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9B1F53" w14:textId="1933AAB1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Sałata, endywia uprawiane pod osłonami</w:t>
      </w:r>
    </w:p>
    <w:p w14:paraId="760D97DA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02878B32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24F3C08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362DB9D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597CD73F" w14:textId="413845AF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liściowej typowej dla odmiany (BBCH 13-47). Pierwszy zabieg wykonać zapobiegawczo lub z chwilą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255A836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1C6FAF08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039A8A9F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5AC4988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 liściowej</w:t>
      </w:r>
    </w:p>
    <w:p w14:paraId="315C3927" w14:textId="023111CF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typowej dla odmiany (BBCH 13-47). Zabieg wykonać zapobiegawczo lub z chwilą pojawienia się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pierwszych objawów choroby.</w:t>
      </w:r>
    </w:p>
    <w:p w14:paraId="3A09549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12FE6937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517265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sałaty i endywii: 2.</w:t>
      </w:r>
    </w:p>
    <w:p w14:paraId="6947309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26BCC3" w14:textId="0ED0548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Cykoria sałatowa</w:t>
      </w:r>
    </w:p>
    <w:p w14:paraId="7D24408E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Alternarioza cykorii, rdza cykorii</w:t>
      </w:r>
    </w:p>
    <w:p w14:paraId="72CD7EDE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014E4A4B" w14:textId="2EF33240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3 liści do końca fazy gdy roślina osiągnie 70% masy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liściowej typowej dla odmiany (BBCH 13-47). Pierwszy zabieg wykonać zapobiegawczo lub z chwilą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3384BD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Zalecana ilość wody: 600-800 l/ha.</w:t>
      </w:r>
    </w:p>
    <w:p w14:paraId="066A395B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426FB7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5689C42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</w:t>
      </w:r>
    </w:p>
    <w:p w14:paraId="36A8A88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3806E4" w14:textId="6B1F9BCB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Rośliny ozdobne uprawiane w polu i pod osłonami</w:t>
      </w:r>
    </w:p>
    <w:p w14:paraId="466D49D2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Alternarioza</w:t>
      </w:r>
    </w:p>
    <w:p w14:paraId="69B5D3D4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0,1 kg/100 l wody.</w:t>
      </w:r>
    </w:p>
    <w:p w14:paraId="7F8C645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47F29F98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7-14 dni.</w:t>
      </w:r>
    </w:p>
    <w:p w14:paraId="294023E1" w14:textId="7BD9EA0B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zapobiegawczo, zgodnie z sygnalizacją, lub z chwilą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1CAD2F41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Mączniaki prawdziwe</w:t>
      </w:r>
    </w:p>
    <w:p w14:paraId="3AFA9326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0,18 kg/100 l wody.</w:t>
      </w:r>
    </w:p>
    <w:p w14:paraId="39EBFE0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2D7D61F5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7-14 dni.</w:t>
      </w:r>
    </w:p>
    <w:p w14:paraId="7CA87FA4" w14:textId="52867708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zapobiegawczo, zgodnie z sygnalizacją, lub z chwilą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pojawienia się pierwszych objawów choroby.</w:t>
      </w:r>
    </w:p>
    <w:p w14:paraId="6735AA7D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twardzikowa, rizoktonioza</w:t>
      </w:r>
    </w:p>
    <w:p w14:paraId="10DA7D9E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0,15 kg/100 l wody.</w:t>
      </w:r>
    </w:p>
    <w:p w14:paraId="2911C1B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29411625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7-14 dni.</w:t>
      </w:r>
    </w:p>
    <w:p w14:paraId="40FB57A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zapobiegawczo lub z chwilą pojawienia się pierwszych</w:t>
      </w:r>
    </w:p>
    <w:p w14:paraId="055F06E1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objawów choroby.</w:t>
      </w:r>
    </w:p>
    <w:p w14:paraId="29978B5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35C9DC94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C1FEE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wegetacyjnym, w uprawie roślin ozdobnych: 2.</w:t>
      </w:r>
    </w:p>
    <w:p w14:paraId="67EA0F83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E1E256" w14:textId="606031B6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Mięta pieprzowa, bazylia pospolita, szałwia lekarska, tymianek właściwy, kolendra siewna,</w:t>
      </w:r>
      <w:r w:rsidR="00C053C5">
        <w:rPr>
          <w:rFonts w:ascii="Times New Roman" w:hAnsi="Times New Roman" w:cs="Times New Roman"/>
          <w:b/>
          <w:bCs/>
        </w:rPr>
        <w:t xml:space="preserve"> </w:t>
      </w:r>
      <w:r w:rsidRPr="00836CA7">
        <w:rPr>
          <w:rFonts w:ascii="Times New Roman" w:hAnsi="Times New Roman" w:cs="Times New Roman"/>
          <w:b/>
          <w:bCs/>
        </w:rPr>
        <w:t>lubczyk ogrodowy uprawiane w polu i pod osłonami</w:t>
      </w:r>
    </w:p>
    <w:p w14:paraId="7BB4D73A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zgnilizna twardzikowa</w:t>
      </w:r>
    </w:p>
    <w:p w14:paraId="63B1D20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37D3C12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51A5776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14-21 dni.</w:t>
      </w:r>
    </w:p>
    <w:p w14:paraId="47CD0542" w14:textId="2E56EA8E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zapobiegawczo lub z chwilą pojawienia się pierwszych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objawów choroby.</w:t>
      </w:r>
    </w:p>
    <w:p w14:paraId="1F4F999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Rizoktonioza</w:t>
      </w:r>
    </w:p>
    <w:p w14:paraId="4BC4A6F9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/zalecana dawka dla jednorazowego zastosowania: 1,5 kg/ha.</w:t>
      </w:r>
    </w:p>
    <w:p w14:paraId="52468C3A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1.</w:t>
      </w:r>
    </w:p>
    <w:p w14:paraId="47D72376" w14:textId="26528D59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Zabieg wykonać zapobiegawczo lub z chwilą pojawienia się pierwszych objawów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choroby.</w:t>
      </w:r>
    </w:p>
    <w:p w14:paraId="23784B1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600-800 l/ha.</w:t>
      </w:r>
    </w:p>
    <w:p w14:paraId="58E5C0C4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0121125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Maksymalna liczba zabiegów w sezonie wegetacyjnym, w uprawie ziół: 2.</w:t>
      </w:r>
    </w:p>
    <w:p w14:paraId="4AD93A21" w14:textId="77777777" w:rsidR="00903A23" w:rsidRPr="00903A23" w:rsidRDefault="00903A23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CA80F4" w14:textId="03721696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Czereśnia</w:t>
      </w:r>
    </w:p>
    <w:p w14:paraId="2FC2048F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  <w:i/>
          <w:iCs/>
        </w:rPr>
        <w:t xml:space="preserve">Brunatna zgnilizna drzew pestkowych </w:t>
      </w:r>
      <w:r w:rsidRPr="00836CA7">
        <w:rPr>
          <w:rFonts w:ascii="Times New Roman" w:hAnsi="Times New Roman" w:cs="Times New Roman"/>
        </w:rPr>
        <w:t>(grzyby z rodzaju Monilinia spp.)</w:t>
      </w:r>
    </w:p>
    <w:p w14:paraId="4135A0F7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39B58DF5" w14:textId="36CCAAF9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w fazie białego pąka (rozchylanie się pierwszych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pąków) (BBCH 57). Następny zabieg wykonać w pełni kwitnienia (BBCH 65). W razie konieczności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kolejny zabieg wykonać na początku wybarwiania się owoców(BBCH 81).</w:t>
      </w:r>
    </w:p>
    <w:p w14:paraId="0513B68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500-850 l/ha.</w:t>
      </w:r>
    </w:p>
    <w:p w14:paraId="604D9681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7498F2D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2AA9041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7FC3DA4F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0F967E" w14:textId="0289E932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Morela</w:t>
      </w:r>
    </w:p>
    <w:p w14:paraId="3E0D1DF7" w14:textId="77777777" w:rsidR="00AA29D2" w:rsidRPr="00836CA7" w:rsidRDefault="00AA29D2" w:rsidP="00C0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  <w:i/>
          <w:iCs/>
        </w:rPr>
        <w:t xml:space="preserve">Brunatna zgnilizna drzew pestkowych </w:t>
      </w:r>
      <w:r w:rsidRPr="00836CA7">
        <w:rPr>
          <w:rFonts w:ascii="Times New Roman" w:hAnsi="Times New Roman" w:cs="Times New Roman"/>
        </w:rPr>
        <w:t>(grzyby z rodzaju Monilinia spp.)</w:t>
      </w:r>
    </w:p>
    <w:p w14:paraId="18435D6E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479813CA" w14:textId="73E63C40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Pierwszy zabieg wykonać w fazie różowego pąka (BBCH 57). Następny zabieg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wykonać w pełni kwitnienia (BBCH 65). W razie konieczności kolejny zabieg wykonać około 3 tyg.</w:t>
      </w:r>
      <w:r w:rsidR="00C053C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 kwitnieniu(BBCH 81).</w:t>
      </w:r>
    </w:p>
    <w:p w14:paraId="303C06D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500-850 l/ha.</w:t>
      </w:r>
    </w:p>
    <w:p w14:paraId="09DE8959" w14:textId="77777777" w:rsidR="00AA29D2" w:rsidRPr="00836CA7" w:rsidRDefault="00AA29D2" w:rsidP="00C053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947D3C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1393645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2FE58349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7D0D30" w14:textId="179AFCEB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Brzoskwinia</w:t>
      </w:r>
    </w:p>
    <w:p w14:paraId="106FAB0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  <w:i/>
          <w:iCs/>
        </w:rPr>
        <w:t xml:space="preserve">Brunatna zgnilizna drzew pestkowych </w:t>
      </w:r>
      <w:r w:rsidRPr="00836CA7">
        <w:rPr>
          <w:rFonts w:ascii="Times New Roman" w:hAnsi="Times New Roman" w:cs="Times New Roman"/>
        </w:rPr>
        <w:t>(grzyby z rodzaju Monilinia spp.)</w:t>
      </w:r>
    </w:p>
    <w:p w14:paraId="2700F50D" w14:textId="77777777" w:rsidR="00AA29D2" w:rsidRPr="00836CA7" w:rsidRDefault="00AA29D2" w:rsidP="002B7E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3CC2F4A8" w14:textId="6709EA08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Opryskiwać tuż przed kwitnieniem tylko podatne odmiany (BBCH 57). Zabiegi</w:t>
      </w:r>
      <w:r w:rsidR="002B7EB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na wszystkich odmianach rozpocząć około 3 tyg. po kwitnieniu (BBCH 72).</w:t>
      </w:r>
    </w:p>
    <w:p w14:paraId="1E309A6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500-850 l/ha.</w:t>
      </w:r>
    </w:p>
    <w:p w14:paraId="499F9B23" w14:textId="77777777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0B0F590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66D6DD5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444CBC1A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F67293" w14:textId="12EA5F0A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Śliwa</w:t>
      </w:r>
    </w:p>
    <w:p w14:paraId="18966A0A" w14:textId="77777777" w:rsidR="00AA29D2" w:rsidRPr="00836CA7" w:rsidRDefault="00AA29D2" w:rsidP="002B7E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  <w:i/>
          <w:iCs/>
        </w:rPr>
        <w:t xml:space="preserve">Brunatna zgnilizna drzew pestkowych </w:t>
      </w:r>
      <w:r w:rsidRPr="00836CA7">
        <w:rPr>
          <w:rFonts w:ascii="Times New Roman" w:hAnsi="Times New Roman" w:cs="Times New Roman"/>
        </w:rPr>
        <w:t>(grzyby z rodzaju Monilinia spp.)</w:t>
      </w:r>
    </w:p>
    <w:p w14:paraId="5D6EC60A" w14:textId="77777777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0,75 kg/ha.</w:t>
      </w:r>
    </w:p>
    <w:p w14:paraId="7383E725" w14:textId="57C0F714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Opryskiwać tuż przed kwitnieniem tylko podatne odmiany (BBCH 57). Zabiegi</w:t>
      </w:r>
      <w:r w:rsidR="002B7EB5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na wszystkich odmianach rozpocząć około 3 tyg. po kwitnieniu (BBCH 72).</w:t>
      </w:r>
    </w:p>
    <w:p w14:paraId="2647730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500-850 l/ha.</w:t>
      </w:r>
    </w:p>
    <w:p w14:paraId="1E156FE6" w14:textId="77777777" w:rsidR="00AA29D2" w:rsidRPr="00836CA7" w:rsidRDefault="00AA29D2" w:rsidP="002B7E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37728A8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3.</w:t>
      </w:r>
    </w:p>
    <w:p w14:paraId="4039D4F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10-14 dni.</w:t>
      </w:r>
    </w:p>
    <w:p w14:paraId="79674C1C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AC7CE6" w14:textId="4ED9177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Truskawka</w:t>
      </w:r>
    </w:p>
    <w:p w14:paraId="4540439E" w14:textId="77777777" w:rsidR="00AA29D2" w:rsidRPr="00836CA7" w:rsidRDefault="00AA29D2" w:rsidP="00F73F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lastRenderedPageBreak/>
        <w:t>Antraknoza truskawki</w:t>
      </w:r>
    </w:p>
    <w:p w14:paraId="4D6EE9D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330E27C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Liczba zabiegów: 2.</w:t>
      </w:r>
    </w:p>
    <w:p w14:paraId="411930D2" w14:textId="77777777" w:rsidR="00AA29D2" w:rsidRPr="00836CA7" w:rsidRDefault="00AA29D2" w:rsidP="00F73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5 dni.</w:t>
      </w:r>
    </w:p>
    <w:p w14:paraId="7E72CA38" w14:textId="77777777" w:rsidR="00AA29D2" w:rsidRPr="00836CA7" w:rsidRDefault="00AA29D2" w:rsidP="00F73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początku do końca fazy kwitnienia (BBCH 61-69).</w:t>
      </w:r>
    </w:p>
    <w:p w14:paraId="14C4AFB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 – 700 l/ha.</w:t>
      </w:r>
    </w:p>
    <w:p w14:paraId="58950220" w14:textId="77777777" w:rsidR="00AA29D2" w:rsidRPr="00836CA7" w:rsidRDefault="00AA29D2" w:rsidP="00F73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1D27C246" w14:textId="71EF0F9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 uwzględniająca zastosowanie środka z</w:t>
      </w:r>
      <w:r w:rsidR="00F73F94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wcześniejszej części etykiety: 2.</w:t>
      </w:r>
    </w:p>
    <w:p w14:paraId="43FD8D1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54C3DC" w14:textId="0ADFBA5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Poziomka</w:t>
      </w:r>
    </w:p>
    <w:p w14:paraId="01D625A8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biała plamistość liści truskawki, mączniak prawdziwy truskawki, antraknoza truskawki</w:t>
      </w:r>
    </w:p>
    <w:p w14:paraId="0F6F53F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3CF595A2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początku do końca fazy kwitnienia (BBCH 61-69).</w:t>
      </w:r>
    </w:p>
    <w:p w14:paraId="347A435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 – 700 l/ha.</w:t>
      </w:r>
    </w:p>
    <w:p w14:paraId="51763220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</w:rPr>
        <w:t>Zalecane opryskiwanie: drobnokropliste</w:t>
      </w:r>
      <w:r w:rsidRPr="00836CA7">
        <w:rPr>
          <w:rFonts w:ascii="Times New Roman" w:hAnsi="Times New Roman" w:cs="Times New Roman"/>
          <w:b/>
          <w:bCs/>
        </w:rPr>
        <w:t>.</w:t>
      </w:r>
    </w:p>
    <w:p w14:paraId="3E6DE77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1954B08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5 dni.</w:t>
      </w:r>
    </w:p>
    <w:p w14:paraId="0E4F9D57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04A951" w14:textId="711A0570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Aronia</w:t>
      </w:r>
    </w:p>
    <w:p w14:paraId="0AE081D0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</w:t>
      </w:r>
    </w:p>
    <w:p w14:paraId="61E0C5ED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07160C3D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od początku fazy kwitnienia (BBCH 61-83).</w:t>
      </w:r>
    </w:p>
    <w:p w14:paraId="73E02C4A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600 - 700 l/ha.</w:t>
      </w:r>
    </w:p>
    <w:p w14:paraId="7A10128F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5A4E59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3207E1F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7 dni.</w:t>
      </w:r>
    </w:p>
    <w:p w14:paraId="6CB79BBA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75797A" w14:textId="1F53CBA1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Porzeczka czerwona, porzeczka biała</w:t>
      </w:r>
    </w:p>
    <w:p w14:paraId="7CC243F7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Antraknoza (opadzina) liści porzeczki, szara pleśń</w:t>
      </w:r>
    </w:p>
    <w:p w14:paraId="43B6444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wykazuje średni poziom zwalczania.</w:t>
      </w:r>
    </w:p>
    <w:p w14:paraId="42673BA1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0D675A6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35B8F396" w14:textId="7AD4D8B8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choroby. Pierwszy zabieg należy wykonać bezpośrednio przed kwitnieniem (BBCH 55-59), kolejny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 kwitnieniu (BBCH 69-90).</w:t>
      </w:r>
    </w:p>
    <w:p w14:paraId="136591E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600 - 800 l/ha.</w:t>
      </w:r>
    </w:p>
    <w:p w14:paraId="3A9AADD9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B0C256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7C0332B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 – 10 dni.</w:t>
      </w:r>
    </w:p>
    <w:p w14:paraId="18EEB118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BD519A" w14:textId="5ADE304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Agrest</w:t>
      </w:r>
    </w:p>
    <w:p w14:paraId="76F0408E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Antraknoza (opadzina) liści porzeczki, szara pleśń</w:t>
      </w:r>
    </w:p>
    <w:p w14:paraId="79E98FF4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wykazuje średni poziom zwalczania.</w:t>
      </w:r>
    </w:p>
    <w:p w14:paraId="104473F6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2CA08DB9" w14:textId="585BBFEE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lastRenderedPageBreak/>
        <w:t>Termin stosowania: Środek stosować zapobiegawczo lub z chwilą pojawienia się pierwszych objawów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choroby. Pierwszy zabieg należy wykonać bezpośrednio przed kwitnieniem (BBCH 55-59), kolejny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po kwitnieniu (BBCH 69-90).</w:t>
      </w:r>
    </w:p>
    <w:p w14:paraId="2669D01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600 - 800 l/ha.</w:t>
      </w:r>
    </w:p>
    <w:p w14:paraId="4460F30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658F464" w14:textId="52DF014D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</w:t>
      </w:r>
      <w:r w:rsidR="00797C4D">
        <w:rPr>
          <w:rFonts w:ascii="Times New Roman" w:hAnsi="Times New Roman" w:cs="Times New Roman"/>
        </w:rPr>
        <w:t>.</w:t>
      </w:r>
    </w:p>
    <w:p w14:paraId="2DA482C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7 – 10 dni.</w:t>
      </w:r>
    </w:p>
    <w:p w14:paraId="367D836A" w14:textId="77777777" w:rsidR="0061176A" w:rsidRPr="00836CA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3A266C" w14:textId="180C9A05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Jeżyna</w:t>
      </w:r>
    </w:p>
    <w:p w14:paraId="20E0C910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przypąkowe zamieranie pędów jeżyny</w:t>
      </w:r>
    </w:p>
    <w:p w14:paraId="6A8E3DC1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W przypadku przypąkowego zamierania pędów jeżyny środek wykazuje średni poziom zwalczania.</w:t>
      </w:r>
    </w:p>
    <w:p w14:paraId="6DE4183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1,8 kg/ha.</w:t>
      </w:r>
    </w:p>
    <w:p w14:paraId="0AAF05F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pierwszych objawów</w:t>
      </w:r>
    </w:p>
    <w:p w14:paraId="7784861B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choroby.</w:t>
      </w:r>
    </w:p>
    <w:p w14:paraId="3219AE8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Do zwalczania szarej pleśni środek stosować od początku fazy kwitnienia (BBCH 61).</w:t>
      </w:r>
    </w:p>
    <w:p w14:paraId="7B844918" w14:textId="3BA7A45D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Do zwalczania przypąkowego zamierania pędów jeżyny pierwszy zabieg wykonać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przed kwitnieniem, gdy nowe pędy osiągną wysokość 10-20 cm (BBCH 51), kolejne zabiegi wykonać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w okresie kwitnienia (BBCH 61-69) lub po zbiorze owoców, po wycięciu starych pędów</w:t>
      </w:r>
      <w:r w:rsidR="00797C4D">
        <w:rPr>
          <w:rFonts w:ascii="Times New Roman" w:hAnsi="Times New Roman" w:cs="Times New Roman"/>
        </w:rPr>
        <w:t xml:space="preserve"> </w:t>
      </w:r>
      <w:r w:rsidRPr="00836CA7">
        <w:rPr>
          <w:rFonts w:ascii="Times New Roman" w:hAnsi="Times New Roman" w:cs="Times New Roman"/>
        </w:rPr>
        <w:t>owoconośnych (BBCH 89-90)</w:t>
      </w:r>
    </w:p>
    <w:p w14:paraId="1CF50FD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600 - 700 l/ha.</w:t>
      </w:r>
    </w:p>
    <w:p w14:paraId="006D50C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7CC163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2216B4F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7 dni.</w:t>
      </w:r>
    </w:p>
    <w:p w14:paraId="6698BBCE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29E2D0" w14:textId="08274BE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Borówka wysoka</w:t>
      </w:r>
    </w:p>
    <w:p w14:paraId="4DEF3967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</w:t>
      </w:r>
    </w:p>
    <w:p w14:paraId="6D79F736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1,5 kg/ha.</w:t>
      </w:r>
    </w:p>
    <w:p w14:paraId="7B0DC7C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5AB706F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Do zwalczania szarej pleśni środek stosować od początku fazy kwitnienia borówki wysokiej (BBCH</w:t>
      </w:r>
    </w:p>
    <w:p w14:paraId="3A934FE8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61-85).</w:t>
      </w:r>
    </w:p>
    <w:p w14:paraId="406D3BC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500-1000 l/ha.</w:t>
      </w:r>
    </w:p>
    <w:p w14:paraId="399AA8CB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7D4A3E5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2447BF6B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10 dni.</w:t>
      </w:r>
    </w:p>
    <w:p w14:paraId="4FE76044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873DEA" w14:textId="0C69BF95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Orzech laskowy, orzech włoski</w:t>
      </w:r>
    </w:p>
    <w:p w14:paraId="325F363D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Alternarioza, szara nekroza orzechów, antraknoza, antraknoza orzecha włoskiego, zamieranie pędów</w:t>
      </w:r>
    </w:p>
    <w:p w14:paraId="09B0A24C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leszczyny, monilioza leszczyny</w:t>
      </w:r>
    </w:p>
    <w:p w14:paraId="584EF2CF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67C5C7B0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298A98A2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początku fazy kwitnienia do końca fazy rozwoju owocu (BBCH 61-79).</w:t>
      </w:r>
    </w:p>
    <w:p w14:paraId="450E55B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600-1500 l/ha.</w:t>
      </w:r>
    </w:p>
    <w:p w14:paraId="51FA5525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0BA1513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46B5B6F2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10-15 dni.</w:t>
      </w:r>
    </w:p>
    <w:p w14:paraId="0AEB9AAA" w14:textId="77777777" w:rsidR="0061176A" w:rsidRPr="00836CA7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4384771" w14:textId="7A64DFD3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lastRenderedPageBreak/>
        <w:t>Groch siewny uprawiany na suche nasiona</w:t>
      </w:r>
    </w:p>
    <w:p w14:paraId="3E19989C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Askochytoza grochu, plamistość grochu</w:t>
      </w:r>
    </w:p>
    <w:p w14:paraId="77007B59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68890E00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6CEAFBD3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początku fazy kwitnienia do końca fazy wzrostu strąków (BBCH 60-80).</w:t>
      </w:r>
    </w:p>
    <w:p w14:paraId="0DCBC817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200-400 l/ha.</w:t>
      </w:r>
    </w:p>
    <w:p w14:paraId="5DC7C656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410C2F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22150D0C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14 dni.</w:t>
      </w:r>
    </w:p>
    <w:p w14:paraId="0E557B32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A2547C" w14:textId="0B992CB9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Groch siewny uprawiany na świeże nasiona</w:t>
      </w:r>
    </w:p>
    <w:p w14:paraId="1A8FEBB2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Askochytoza grochu, plamistość grochu</w:t>
      </w:r>
    </w:p>
    <w:p w14:paraId="1E51CC8E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54222B9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3DEF6E24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początku fazy kwitnienia do końca fazy wzrostu strąków (BBCH 60-80).</w:t>
      </w:r>
    </w:p>
    <w:p w14:paraId="25612196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200-400 l/ha.</w:t>
      </w:r>
    </w:p>
    <w:p w14:paraId="1A524E69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6296E098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1.</w:t>
      </w:r>
    </w:p>
    <w:p w14:paraId="10AE1C46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3307E0" w14:textId="0063D34F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Groch pastewny (peluszka) uprawiany na suche nasiona</w:t>
      </w:r>
    </w:p>
    <w:p w14:paraId="2DC2025B" w14:textId="77777777" w:rsidR="00AA29D2" w:rsidRPr="00836CA7" w:rsidRDefault="00AA29D2" w:rsidP="00797C4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Rdza grochu, czekoladowa plamistość grochu</w:t>
      </w:r>
    </w:p>
    <w:p w14:paraId="06E118B5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047D7B59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5CF1C385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końca fazy rozwoju kwiatostanu do końca fazy wzrostu strąków (BBCH 59-80).</w:t>
      </w:r>
    </w:p>
    <w:p w14:paraId="41E6BC61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200-300 l/ha.</w:t>
      </w:r>
    </w:p>
    <w:p w14:paraId="4BD5A0C4" w14:textId="77777777" w:rsidR="00AA29D2" w:rsidRPr="00836CA7" w:rsidRDefault="00AA29D2" w:rsidP="0079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5D855CA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</w:t>
      </w:r>
    </w:p>
    <w:p w14:paraId="603FC675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21 dni.</w:t>
      </w:r>
    </w:p>
    <w:p w14:paraId="6BBD0913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AD7044" w14:textId="027F611B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36CA7">
        <w:rPr>
          <w:rFonts w:ascii="Times New Roman" w:hAnsi="Times New Roman" w:cs="Times New Roman"/>
          <w:b/>
          <w:bCs/>
        </w:rPr>
        <w:t>Łubin wąskolistny, łubin biały, łubin żółty</w:t>
      </w:r>
    </w:p>
    <w:p w14:paraId="5DB89A8C" w14:textId="77777777" w:rsidR="00AA29D2" w:rsidRPr="00836CA7" w:rsidRDefault="00AA29D2" w:rsidP="00836CA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836CA7">
        <w:rPr>
          <w:rFonts w:ascii="Times New Roman" w:hAnsi="Times New Roman" w:cs="Times New Roman"/>
          <w:i/>
          <w:iCs/>
        </w:rPr>
        <w:t>Szara pleśń, rdza łubinu, askochytoza łubinu, brunatna plamistość liści łubinu</w:t>
      </w:r>
    </w:p>
    <w:p w14:paraId="0E0DCF65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/ zalecana dawka dla jednorazowego zastosowania: 1,0 kg/ha.</w:t>
      </w:r>
    </w:p>
    <w:p w14:paraId="42DA03B3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Termin stosowania: Środek stosować zapobiegawczo lub z chwilą pojawienia się objawów choroby.</w:t>
      </w:r>
    </w:p>
    <w:p w14:paraId="40CCB1BC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Środek stosować od początku fazy kwitnienia do końca fazy wzrostu strąków (BBCH 60-80).</w:t>
      </w:r>
    </w:p>
    <w:p w14:paraId="07CB4C9F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Zalecana ilość wody: 200-300 l/ha.</w:t>
      </w:r>
    </w:p>
    <w:p w14:paraId="1D4722A4" w14:textId="77777777" w:rsidR="00AA29D2" w:rsidRPr="00836CA7" w:rsidRDefault="00AA29D2" w:rsidP="00836C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Zalecane opryskiwanie: drobnokropliste.</w:t>
      </w:r>
    </w:p>
    <w:p w14:paraId="4D08ADDE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Maksymalna liczba zabiegów w sezonie wegetacyjnym: 2.</w:t>
      </w:r>
    </w:p>
    <w:p w14:paraId="6102F1A4" w14:textId="77777777" w:rsidR="00AA29D2" w:rsidRPr="00836CA7" w:rsidRDefault="00AA29D2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CA7">
        <w:rPr>
          <w:rFonts w:ascii="Times New Roman" w:hAnsi="Times New Roman" w:cs="Times New Roman"/>
        </w:rPr>
        <w:t>Odstęp między zabiegami: co najmniej 21 dni.</w:t>
      </w:r>
    </w:p>
    <w:p w14:paraId="2866BF0B" w14:textId="77777777" w:rsidR="0061176A" w:rsidRPr="00903A23" w:rsidRDefault="0061176A" w:rsidP="0083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841C96" w14:textId="0FD527DB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70675375"/>
      <w:r w:rsidRPr="009D33AF">
        <w:rPr>
          <w:rFonts w:ascii="Times New Roman" w:hAnsi="Times New Roman" w:cs="Times New Roman"/>
          <w:b/>
          <w:bCs/>
        </w:rPr>
        <w:t xml:space="preserve">Rośliny szkółkarskie leśne uprawiane w gruncie i pod osłonami, odnowienia, zalesienia </w:t>
      </w:r>
    </w:p>
    <w:bookmarkEnd w:id="0"/>
    <w:p w14:paraId="444957B8" w14:textId="77777777" w:rsidR="000C110B" w:rsidRPr="009D33AF" w:rsidRDefault="000C110B" w:rsidP="000C11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D33AF">
        <w:rPr>
          <w:rFonts w:ascii="Times New Roman" w:hAnsi="Times New Roman" w:cs="Times New Roman"/>
          <w:i/>
          <w:iCs/>
        </w:rPr>
        <w:t>Zgorzel siewek</w:t>
      </w:r>
    </w:p>
    <w:p w14:paraId="4CB714A5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dawka dla jednorazowego zastosowania: 1,5 kg/ha.</w:t>
      </w:r>
    </w:p>
    <w:p w14:paraId="269FEB57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dawka dla jednorazowego zastosowania: 1,0 – 1,5 kg/ha.</w:t>
      </w:r>
    </w:p>
    <w:p w14:paraId="60142393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Wyższą dawkę środka stosować przy większym zagrożeniu chorobowym.</w:t>
      </w:r>
    </w:p>
    <w:p w14:paraId="7FA5965D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8838806"/>
      <w:r w:rsidRPr="009D33AF">
        <w:rPr>
          <w:rFonts w:ascii="Times New Roman" w:hAnsi="Times New Roman" w:cs="Times New Roman"/>
        </w:rPr>
        <w:lastRenderedPageBreak/>
        <w:t>Liczba zabiegów: 2.</w:t>
      </w:r>
    </w:p>
    <w:bookmarkEnd w:id="1"/>
    <w:p w14:paraId="0E86776F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Odstęp między zabiegami: 7-10 dni.</w:t>
      </w:r>
    </w:p>
    <w:p w14:paraId="57A0845C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Krótszy odstęp stosować przy większym zagrożeniu chorobowym.</w:t>
      </w:r>
    </w:p>
    <w:p w14:paraId="4402AF9D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ilość wody: 1000 l/ha.</w:t>
      </w:r>
    </w:p>
    <w:p w14:paraId="3617ECFB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Zalecane opryskiwanie: drobnokropliste.</w:t>
      </w:r>
    </w:p>
    <w:p w14:paraId="4EEB35F2" w14:textId="77777777" w:rsidR="000C110B" w:rsidRPr="009D33AF" w:rsidRDefault="000C110B" w:rsidP="000C11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D33AF">
        <w:rPr>
          <w:rFonts w:ascii="Times New Roman" w:hAnsi="Times New Roman" w:cs="Times New Roman"/>
          <w:i/>
          <w:iCs/>
        </w:rPr>
        <w:t>Fytoftoroza</w:t>
      </w:r>
    </w:p>
    <w:p w14:paraId="308159CF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dawka dla jednorazowego zastosowania: 1,5 kg/ha.</w:t>
      </w:r>
    </w:p>
    <w:p w14:paraId="6D5F2C51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dawka dla jednorazowego zastosowania: 1,0 – 1,5 kg/ha.</w:t>
      </w:r>
    </w:p>
    <w:p w14:paraId="7734229F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Wyższą dawkę stosować przy większym zagrożeniu chorobowym.</w:t>
      </w:r>
    </w:p>
    <w:p w14:paraId="26213010" w14:textId="1FDAD4C9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8838947"/>
      <w:r w:rsidRPr="009D33AF">
        <w:rPr>
          <w:rFonts w:ascii="Times New Roman" w:hAnsi="Times New Roman" w:cs="Times New Roman"/>
        </w:rPr>
        <w:t>Liczba zabiegów</w:t>
      </w:r>
      <w:bookmarkEnd w:id="2"/>
      <w:r w:rsidRPr="009D33AF">
        <w:rPr>
          <w:rFonts w:ascii="Times New Roman" w:hAnsi="Times New Roman" w:cs="Times New Roman"/>
        </w:rPr>
        <w:t>: 2.</w:t>
      </w:r>
    </w:p>
    <w:p w14:paraId="623DAADB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Odstęp między zabiegami: 7-10 dni.</w:t>
      </w:r>
    </w:p>
    <w:p w14:paraId="72D0739D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Krótszy odstęp stosować przy większym zagrożeniu chorobowym.</w:t>
      </w:r>
    </w:p>
    <w:p w14:paraId="41F048FE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ilość wody: 600-800 l/ha.</w:t>
      </w:r>
    </w:p>
    <w:p w14:paraId="3A2D14F6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Zalecane opryskiwanie: drobnokropliste.</w:t>
      </w:r>
    </w:p>
    <w:p w14:paraId="6E89EF4A" w14:textId="77777777" w:rsidR="000C110B" w:rsidRPr="009D33AF" w:rsidRDefault="000C110B" w:rsidP="000C11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D33AF">
        <w:rPr>
          <w:rFonts w:ascii="Times New Roman" w:hAnsi="Times New Roman" w:cs="Times New Roman"/>
          <w:i/>
          <w:iCs/>
        </w:rPr>
        <w:t>Mączniak prawdziwy</w:t>
      </w:r>
    </w:p>
    <w:p w14:paraId="3CADE67D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dawka dla jednorazowego zastosowania: 1,8 kg/ha.</w:t>
      </w:r>
    </w:p>
    <w:p w14:paraId="767025F2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dawka dla jednorazowego zastosowania: 1,8 kg/ha.</w:t>
      </w:r>
    </w:p>
    <w:p w14:paraId="476C9B44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Wyższą dawkę stosować przy większym zagrożeniu chorobowym.</w:t>
      </w:r>
    </w:p>
    <w:p w14:paraId="2C8D5E57" w14:textId="0D4B612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8838860"/>
      <w:r w:rsidRPr="009D33AF">
        <w:rPr>
          <w:rFonts w:ascii="Times New Roman" w:hAnsi="Times New Roman" w:cs="Times New Roman"/>
        </w:rPr>
        <w:t>Liczba zabiegów: 2.</w:t>
      </w:r>
    </w:p>
    <w:bookmarkEnd w:id="3"/>
    <w:p w14:paraId="4668F2E4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Odstęp między zabiegami: 7-10 dni.</w:t>
      </w:r>
    </w:p>
    <w:p w14:paraId="433AF303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Krótszy odstęp stosować przy większym zagrożeniu chorobowym.</w:t>
      </w:r>
    </w:p>
    <w:p w14:paraId="4789A04B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ilość wody: 600-800 l/ha.</w:t>
      </w:r>
    </w:p>
    <w:p w14:paraId="05D72DCC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Zalecane opryskiwanie: drobnokropliste.</w:t>
      </w:r>
    </w:p>
    <w:p w14:paraId="2B04A8B4" w14:textId="77777777" w:rsidR="000C110B" w:rsidRPr="009D33AF" w:rsidRDefault="000C110B" w:rsidP="000C11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D33AF">
        <w:rPr>
          <w:rFonts w:ascii="Times New Roman" w:hAnsi="Times New Roman" w:cs="Times New Roman"/>
          <w:i/>
          <w:iCs/>
        </w:rPr>
        <w:t>Rdze, szara pleśń</w:t>
      </w:r>
    </w:p>
    <w:p w14:paraId="6CC8C0B4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dawka dla jednorazowego zastosowania: 1,8 kg/ha.</w:t>
      </w:r>
    </w:p>
    <w:p w14:paraId="6C95A5E2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dawka dla jednorazowego zastosowania: 1,8 kg/ha.</w:t>
      </w:r>
    </w:p>
    <w:p w14:paraId="4409CFE7" w14:textId="0B33D39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Liczba zabiegów: 2.</w:t>
      </w:r>
    </w:p>
    <w:p w14:paraId="4779B40C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Odstęp miedzy zabiegami: 7-10 dni.</w:t>
      </w:r>
    </w:p>
    <w:p w14:paraId="22FD161D" w14:textId="77777777" w:rsidR="000C110B" w:rsidRPr="009D33AF" w:rsidRDefault="000C110B" w:rsidP="000C11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Krótszy odstęp stosować przy większym zagrożeniu chorobą.</w:t>
      </w:r>
    </w:p>
    <w:p w14:paraId="624623A2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Zalecana ilość wody: 600-800 l/ha.</w:t>
      </w:r>
    </w:p>
    <w:p w14:paraId="37D1FA88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Ilość wody dostosować do zagęszczenia roślin.</w:t>
      </w:r>
    </w:p>
    <w:p w14:paraId="0D8516D7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Zalecane opryskiwanie: drobnokropliste.</w:t>
      </w:r>
    </w:p>
    <w:p w14:paraId="45C9EB01" w14:textId="77777777" w:rsidR="000C110B" w:rsidRPr="009D33AF" w:rsidRDefault="000C110B" w:rsidP="000C110B">
      <w:pPr>
        <w:spacing w:after="0"/>
        <w:jc w:val="both"/>
        <w:rPr>
          <w:rFonts w:ascii="Times New Roman" w:hAnsi="Times New Roman" w:cs="Times New Roman"/>
        </w:rPr>
      </w:pPr>
    </w:p>
    <w:p w14:paraId="6E496857" w14:textId="77777777" w:rsidR="000C110B" w:rsidRPr="009D33AF" w:rsidRDefault="000C110B" w:rsidP="000C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33AF">
        <w:rPr>
          <w:rFonts w:ascii="Times New Roman" w:hAnsi="Times New Roman" w:cs="Times New Roman"/>
        </w:rPr>
        <w:t>Maksymalna liczba zabiegów w sezonie wegetacyjnym: 2.</w:t>
      </w:r>
    </w:p>
    <w:p w14:paraId="295561A3" w14:textId="77777777" w:rsidR="000C110B" w:rsidRDefault="000C110B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14:paraId="2FAEE38C" w14:textId="6EFC08A2" w:rsidR="00AA29D2" w:rsidRDefault="00AA29D2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ŚRODKI OSTROŻNOŚCI, OKRESY KARENCJI I SZCZEGÓLNE WARUNKI</w:t>
      </w:r>
      <w:r w:rsidR="0061176A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STOSOWANIA</w:t>
      </w:r>
    </w:p>
    <w:p w14:paraId="635C4939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Okres od ostatniego zastosowania środka do dnia zbioru rośliny uprawnej (okres karencji):</w:t>
      </w:r>
    </w:p>
    <w:p w14:paraId="667207F7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  <w:u w:val="single"/>
        </w:rPr>
        <w:t>Uprawa gruntowa</w:t>
      </w:r>
      <w:r w:rsidRPr="00B60D12">
        <w:rPr>
          <w:rFonts w:ascii="Times New Roman" w:hAnsi="Times New Roman" w:cs="Times New Roman"/>
        </w:rPr>
        <w:t>:</w:t>
      </w:r>
    </w:p>
    <w:p w14:paraId="3DD13768" w14:textId="23045762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Ziemniak, pomidor, truskawka, poziomka, malina, aronia, czarna porzeczka, biała porzeczka,</w:t>
      </w:r>
      <w:r w:rsidR="00885B15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czerwona porzeczka, agrest, jeżyna, borówka wysoka – 3 dni,</w:t>
      </w:r>
    </w:p>
    <w:p w14:paraId="1E475DA9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Wiśnia, rzodkiewka, czereśnia, morela, brzoskwinia, śliwa – 7 dni,</w:t>
      </w:r>
    </w:p>
    <w:p w14:paraId="77AA17A0" w14:textId="36A6164E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Cebula, kapusta głowiasta, pasternak, pietruszka korzeniowa, burak ćwikłowy, seler korzeniowy,</w:t>
      </w:r>
      <w:r w:rsidR="000B4E08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szczypiorek, brokuł, kalafior, kapusta brukselska, kapusta pekińska, kalarepa, sałata, endywia, cykoria</w:t>
      </w:r>
    </w:p>
    <w:p w14:paraId="41C01743" w14:textId="5F838B18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sałatowa, por, cebula siedmiolatka, szalotka, szpinak, koper, seler naciowy, pietruszka naciowa,</w:t>
      </w:r>
      <w:r w:rsidR="000B4E08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rukola, mięta pieprzowa, bazylia pospolita, szałwia lekarska, tymianek właściwy, kolendra siewna,</w:t>
      </w:r>
      <w:r w:rsidR="000B4E08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lubczyk ogrodowy, groch siewny uprawiany na świeże nasiona – 14 dni,</w:t>
      </w:r>
    </w:p>
    <w:p w14:paraId="014930F2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Groch siewny uprawiany na suche nasiona – 21 dni,</w:t>
      </w:r>
    </w:p>
    <w:p w14:paraId="6FE771F4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Marchew, orzech włoski, orzech laskowy – 28 dni.</w:t>
      </w:r>
    </w:p>
    <w:p w14:paraId="1D0B86C5" w14:textId="1217A459" w:rsidR="00AA29D2" w:rsidRPr="00E07746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7746">
        <w:rPr>
          <w:rFonts w:ascii="Times New Roman" w:hAnsi="Times New Roman" w:cs="Times New Roman"/>
        </w:rPr>
        <w:lastRenderedPageBreak/>
        <w:t>Rośliny ozdobne, szparagi</w:t>
      </w:r>
      <w:r w:rsidR="006A3911" w:rsidRPr="00E07746">
        <w:rPr>
          <w:rFonts w:ascii="Times New Roman" w:hAnsi="Times New Roman" w:cs="Times New Roman"/>
        </w:rPr>
        <w:t>, rośliny szkółkarskie leśne, odnowienia, zalesienia</w:t>
      </w:r>
      <w:r w:rsidRPr="00E07746">
        <w:rPr>
          <w:rFonts w:ascii="Times New Roman" w:hAnsi="Times New Roman" w:cs="Times New Roman"/>
        </w:rPr>
        <w:t xml:space="preserve"> – nie dotyczy.</w:t>
      </w:r>
    </w:p>
    <w:p w14:paraId="5E3DEC96" w14:textId="77777777" w:rsidR="00AA29D2" w:rsidRPr="00E07746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7746">
        <w:rPr>
          <w:rFonts w:ascii="Times New Roman" w:hAnsi="Times New Roman" w:cs="Times New Roman"/>
          <w:u w:val="single"/>
        </w:rPr>
        <w:t>Uprawa pod osłonami</w:t>
      </w:r>
      <w:r w:rsidRPr="00E07746">
        <w:rPr>
          <w:rFonts w:ascii="Times New Roman" w:hAnsi="Times New Roman" w:cs="Times New Roman"/>
        </w:rPr>
        <w:t>:</w:t>
      </w:r>
    </w:p>
    <w:p w14:paraId="08AA191A" w14:textId="77777777" w:rsidR="00AA29D2" w:rsidRPr="00E07746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7746">
        <w:rPr>
          <w:rFonts w:ascii="Times New Roman" w:hAnsi="Times New Roman" w:cs="Times New Roman"/>
        </w:rPr>
        <w:t>Pomidor, papryka, bakłażan – 3 dni,</w:t>
      </w:r>
    </w:p>
    <w:p w14:paraId="700385D1" w14:textId="7FD257ED" w:rsidR="00AA29D2" w:rsidRPr="00E07746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7746">
        <w:rPr>
          <w:rFonts w:ascii="Times New Roman" w:hAnsi="Times New Roman" w:cs="Times New Roman"/>
        </w:rPr>
        <w:t>Rzodkiewka, sałata, endywia. mięta pieprzowa, bazylia pospolita, szałwia lekarska, tymianek</w:t>
      </w:r>
      <w:r w:rsidR="00903A23">
        <w:rPr>
          <w:rFonts w:ascii="Times New Roman" w:hAnsi="Times New Roman" w:cs="Times New Roman"/>
        </w:rPr>
        <w:t xml:space="preserve"> </w:t>
      </w:r>
      <w:r w:rsidRPr="00E07746">
        <w:rPr>
          <w:rFonts w:ascii="Times New Roman" w:hAnsi="Times New Roman" w:cs="Times New Roman"/>
        </w:rPr>
        <w:t>właściwy, kolendra siewna, lubczyk ogrodowy – 14 dni,</w:t>
      </w:r>
    </w:p>
    <w:p w14:paraId="52319CFC" w14:textId="3635A20C" w:rsidR="00AA29D2" w:rsidRPr="00E07746" w:rsidRDefault="00AA29D2" w:rsidP="00A157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07746">
        <w:rPr>
          <w:rFonts w:ascii="Times New Roman" w:hAnsi="Times New Roman" w:cs="Times New Roman"/>
        </w:rPr>
        <w:t>Rośliny ozdobne</w:t>
      </w:r>
      <w:r w:rsidR="006A3911" w:rsidRPr="00E07746">
        <w:rPr>
          <w:rFonts w:ascii="Times New Roman" w:hAnsi="Times New Roman" w:cs="Times New Roman"/>
          <w:b/>
          <w:bCs/>
        </w:rPr>
        <w:t xml:space="preserve"> </w:t>
      </w:r>
      <w:r w:rsidR="006A3911" w:rsidRPr="00E07746">
        <w:rPr>
          <w:rFonts w:ascii="Times New Roman" w:hAnsi="Times New Roman" w:cs="Times New Roman"/>
        </w:rPr>
        <w:t>rośliny szkółkarskie leśne</w:t>
      </w:r>
      <w:r w:rsidRPr="00E07746">
        <w:rPr>
          <w:rFonts w:ascii="Times New Roman" w:hAnsi="Times New Roman" w:cs="Times New Roman"/>
        </w:rPr>
        <w:t xml:space="preserve"> – nie dotyczy.</w:t>
      </w:r>
    </w:p>
    <w:p w14:paraId="0E0B9FB5" w14:textId="7BE9E9FC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Okres od ostatniego zastosowania środka na rośliny przeznaczone na paszę do dnia w którym</w:t>
      </w:r>
      <w:r w:rsidR="00B60D12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zwierzęta mogą być karmione tymi roślinami (okres karencji dla pasz):</w:t>
      </w:r>
    </w:p>
    <w:p w14:paraId="7CA0BC4C" w14:textId="64596509" w:rsidR="00AA29D2" w:rsidRPr="00B60D12" w:rsidRDefault="00B60D12" w:rsidP="00A157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A29D2" w:rsidRPr="00B60D12">
        <w:rPr>
          <w:rFonts w:ascii="Times New Roman" w:hAnsi="Times New Roman" w:cs="Times New Roman"/>
        </w:rPr>
        <w:t>roch siewny pastewny uprawiany na suche nasiona (peluszka), łubin wąskolistny, łubin biały, łubin</w:t>
      </w:r>
      <w:r>
        <w:rPr>
          <w:rFonts w:ascii="Times New Roman" w:hAnsi="Times New Roman" w:cs="Times New Roman"/>
        </w:rPr>
        <w:t xml:space="preserve"> </w:t>
      </w:r>
      <w:r w:rsidR="00AA29D2" w:rsidRPr="00B60D12">
        <w:rPr>
          <w:rFonts w:ascii="Times New Roman" w:hAnsi="Times New Roman" w:cs="Times New Roman"/>
        </w:rPr>
        <w:t>żółty – 21 dni.</w:t>
      </w:r>
    </w:p>
    <w:p w14:paraId="3D64B282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0D12">
        <w:rPr>
          <w:rFonts w:ascii="Times New Roman" w:hAnsi="Times New Roman" w:cs="Times New Roman"/>
        </w:rPr>
        <w:t>1. Środek stosować przemiennie z fungicydami o odmiennym mechanizmie działania</w:t>
      </w:r>
      <w:r w:rsidRPr="00B60D12">
        <w:rPr>
          <w:rFonts w:ascii="Times New Roman" w:hAnsi="Times New Roman" w:cs="Times New Roman"/>
          <w:b/>
          <w:bCs/>
        </w:rPr>
        <w:t>.</w:t>
      </w:r>
    </w:p>
    <w:p w14:paraId="5B210BA7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2. Krótsze odstępy między zabiegami zachować w przypadku większego zagrożenia chorobami.</w:t>
      </w:r>
    </w:p>
    <w:p w14:paraId="48D1A1DF" w14:textId="77777777" w:rsidR="0061176A" w:rsidRPr="00903A23" w:rsidRDefault="0061176A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1DC8EB20" w14:textId="06C1832A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SPORZĄDZANIE CIECZY UŻYTKOWEJ</w:t>
      </w:r>
    </w:p>
    <w:p w14:paraId="3FF0DBDA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Ciecz użytkową przygotować bezpośrednio przed zastosowaniem.</w:t>
      </w:r>
    </w:p>
    <w:p w14:paraId="162F2100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Przed przystąpieniem do sporządzania cieczy użytkowej dokładnie ustalić potrzebną jej objętość wraz</w:t>
      </w:r>
    </w:p>
    <w:p w14:paraId="2911B892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 ilością środka. Napełniając opryskiwacz postępować zgodnie z instrukcją producenta opryskiwacza.</w:t>
      </w:r>
    </w:p>
    <w:p w14:paraId="36BCDADB" w14:textId="7E726FF2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przypadku braku instrukcji odmierzoną ilość środka dodać do zbiornika opryskiwacza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napełnionego częściowo wodą ( z włączonym mieszadłem).</w:t>
      </w:r>
    </w:p>
    <w:p w14:paraId="0624D3E3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Opróżnione opakowania przepłukać trzykrotnie wodą, a popłuczyny wlać do zbiornika opryskiwacza z</w:t>
      </w:r>
    </w:p>
    <w:p w14:paraId="586627D8" w14:textId="5E238AF1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cieczą użytkową, uzupełnić wodą do potrzebnej ilości i dokładnie wymieszać. Po wlaniu środka do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zbiornika opryskiwacza niewyposażonego w mieszadło hydrauliczne, ciecz mechanicznie wymieszać.</w:t>
      </w:r>
    </w:p>
    <w:p w14:paraId="1F76411C" w14:textId="5E4D3801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przypadku przerw w opryskiwaniu, przed ponownym przystąpieniem do pracy ciecz użytkową w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zbiorniku opryskiwacza dokładnie wymieszać.</w:t>
      </w:r>
    </w:p>
    <w:p w14:paraId="69C1EBC5" w14:textId="77777777" w:rsidR="0061176A" w:rsidRPr="00903A23" w:rsidRDefault="0061176A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16ACA352" w14:textId="2D3BCA05" w:rsidR="00AA29D2" w:rsidRDefault="00AA29D2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POSTĘPOWANIE Z RESZTKAMI CIECZY UŻYTKOWEJ I MYCIE APARATURY</w:t>
      </w:r>
    </w:p>
    <w:p w14:paraId="78023396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Resztki cieczy użytkowej oraz wodę użytą do mycia aparatury należy:</w:t>
      </w:r>
    </w:p>
    <w:p w14:paraId="22681153" w14:textId="076CBEB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– jeżeli jest to możliwe, po uprzednim rozcieńczeniu zużyć na powierzchni, na której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przeprowadzono zabieg, lub</w:t>
      </w:r>
    </w:p>
    <w:p w14:paraId="3A472DC9" w14:textId="4B0EC4CC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– unieszkodliwić z wykorzystaniem rozwiązań technicznych zapewniających biologiczną degradację</w:t>
      </w:r>
      <w:r w:rsidR="00B60D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substancji czynnych środków ochrony roślin, lub</w:t>
      </w:r>
    </w:p>
    <w:p w14:paraId="57B43E00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– unieszkodliwić w inny sposób, zgodny z przepisami o odpadach.</w:t>
      </w:r>
    </w:p>
    <w:p w14:paraId="38BB78DE" w14:textId="77777777" w:rsidR="00AA29D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 pracy aparaturę dokładnie wymyć.</w:t>
      </w:r>
    </w:p>
    <w:p w14:paraId="4DF67AF5" w14:textId="77777777" w:rsidR="0061176A" w:rsidRPr="00903A23" w:rsidRDefault="0061176A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0B18A196" w14:textId="4F7EC91F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0D12">
        <w:rPr>
          <w:rFonts w:ascii="Times New Roman" w:hAnsi="Times New Roman" w:cs="Times New Roman"/>
          <w:b/>
          <w:bCs/>
        </w:rPr>
        <w:t>ŚRODKI OSTROŻNOŚCI DLA OSÓB STOSUJĄCYCH ŚRODEK, PRACOWNIKÓW ORAZ</w:t>
      </w:r>
    </w:p>
    <w:p w14:paraId="4AFBAF2A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0D12">
        <w:rPr>
          <w:rFonts w:ascii="Times New Roman" w:hAnsi="Times New Roman" w:cs="Times New Roman"/>
          <w:b/>
          <w:bCs/>
        </w:rPr>
        <w:t>OSÓB POSTRONNYCH</w:t>
      </w:r>
    </w:p>
    <w:p w14:paraId="09160B79" w14:textId="230E698E" w:rsidR="00AA29D2" w:rsidRPr="00B60D12" w:rsidRDefault="00AA29D2" w:rsidP="00B60D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B60D12">
        <w:rPr>
          <w:rFonts w:ascii="Times New Roman" w:hAnsi="Times New Roman" w:cs="Times New Roman"/>
          <w:u w:val="single"/>
        </w:rPr>
        <w:t>Przed zastosowaniem środka należy poinformować o tym fakcie wszystkie zainteresowane strony,</w:t>
      </w:r>
      <w:r w:rsidR="00B60D12" w:rsidRPr="00B60D12">
        <w:rPr>
          <w:rFonts w:ascii="Times New Roman" w:hAnsi="Times New Roman" w:cs="Times New Roman"/>
          <w:u w:val="single"/>
        </w:rPr>
        <w:t xml:space="preserve"> </w:t>
      </w:r>
      <w:r w:rsidRPr="00B60D12">
        <w:rPr>
          <w:rFonts w:ascii="Times New Roman" w:hAnsi="Times New Roman" w:cs="Times New Roman"/>
          <w:u w:val="single"/>
        </w:rPr>
        <w:t>które mogą być narażone na znoszenie cieczy użytkowej i które zwróciły się o taką informację.</w:t>
      </w:r>
    </w:p>
    <w:p w14:paraId="2DC2DDCD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Nie jeść, nie pić ani nie palić podczas używania produktu.</w:t>
      </w:r>
    </w:p>
    <w:p w14:paraId="1CD5FF5D" w14:textId="0BE828AE" w:rsidR="00AA29D2" w:rsidRPr="00B60D12" w:rsidRDefault="00AA29D2" w:rsidP="00B60D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Stosować rękawice ochronne oraz odzież ochronną, zabezpieczającą przed oddziaływaniem środków</w:t>
      </w:r>
      <w:r w:rsidR="00B60D12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ochrony roślin w trakcie przygotowywania cieczy roboczej oraz w trakcie wykonywania zabiegu.</w:t>
      </w:r>
    </w:p>
    <w:p w14:paraId="49C58F71" w14:textId="5359061D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Okres od zastosowania środka do dnia, w którym na obszar, na którym zastosowano środek mogą</w:t>
      </w:r>
      <w:r w:rsidR="00B60D12">
        <w:rPr>
          <w:rFonts w:ascii="Times New Roman" w:hAnsi="Times New Roman" w:cs="Times New Roman"/>
        </w:rPr>
        <w:t xml:space="preserve"> </w:t>
      </w:r>
      <w:r w:rsidRPr="00B60D12">
        <w:rPr>
          <w:rFonts w:ascii="Times New Roman" w:hAnsi="Times New Roman" w:cs="Times New Roman"/>
        </w:rPr>
        <w:t>wejść ludzie oraz zostać wprowadzone zwierzęta (okres prewencji):</w:t>
      </w:r>
    </w:p>
    <w:p w14:paraId="3B1CCF12" w14:textId="77777777" w:rsidR="00AA29D2" w:rsidRPr="00B60D12" w:rsidRDefault="00AA29D2" w:rsidP="00B6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0D12">
        <w:rPr>
          <w:rFonts w:ascii="Times New Roman" w:hAnsi="Times New Roman" w:cs="Times New Roman"/>
        </w:rPr>
        <w:t>nie wchodzić do czasu całkowitego wyschnięcia cieczy użytkowej na powierzchni roślin.</w:t>
      </w:r>
    </w:p>
    <w:p w14:paraId="0FC100A1" w14:textId="77777777" w:rsidR="0061176A" w:rsidRPr="00903A23" w:rsidRDefault="0061176A" w:rsidP="00AA29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58A454C9" w14:textId="77777777" w:rsidR="0061176A" w:rsidRDefault="0061176A" w:rsidP="00611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ŚRODKI OSTROŻNOŚCI ZWIĄZANE Z OCHRONĄ ŚRODOWISKA NATURALNEGO</w:t>
      </w:r>
    </w:p>
    <w:p w14:paraId="33558E3E" w14:textId="77777777" w:rsidR="0061176A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Nie zanieczyszczać wód środkiem ochrony roślin lub jego opakowaniem.</w:t>
      </w:r>
    </w:p>
    <w:p w14:paraId="743EB796" w14:textId="77777777" w:rsidR="0061176A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Nie myć aparatury w pobliżu wód powierzchniowych.</w:t>
      </w:r>
    </w:p>
    <w:p w14:paraId="2515F83E" w14:textId="77777777" w:rsidR="0061176A" w:rsidRDefault="0061176A" w:rsidP="00DE792E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Unikać zanieczyszczania wód poprzez rowy odwadniające z gospodarstw i dróg.</w:t>
      </w:r>
    </w:p>
    <w:p w14:paraId="56E13B03" w14:textId="77777777" w:rsidR="0061176A" w:rsidRDefault="0061176A" w:rsidP="00DE792E">
      <w:pPr>
        <w:autoSpaceDE w:val="0"/>
        <w:autoSpaceDN w:val="0"/>
        <w:adjustRightInd w:val="0"/>
        <w:spacing w:after="12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Środek stosować poza okresami aktywności pszczół.</w:t>
      </w:r>
    </w:p>
    <w:p w14:paraId="6FAD28DC" w14:textId="12D22206" w:rsidR="0061176A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celu ochrony organizmów wodnych niebędących celem działania środka konieczne jest</w:t>
      </w:r>
      <w:r w:rsidR="00F93C5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wyznaczenie od zbiorników i cieków wodnych strefy ochronnej o szerokości:</w:t>
      </w:r>
    </w:p>
    <w:p w14:paraId="61056DC4" w14:textId="48A8DBDD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1metra w przypadku uprawy ziemniaka;</w:t>
      </w:r>
    </w:p>
    <w:p w14:paraId="32AEB94A" w14:textId="69FFBAF9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5 metrów w przypadku uprawy grochu siewnego uprawianego na suche nasiona, grochu siewnego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uprawianego na świeże nasiona, grochu siewnego pastewnego uprawianego na suche nasiona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(peluszki),</w:t>
      </w:r>
      <w:r w:rsidR="00F93C5C" w:rsidRPr="00F93C5C">
        <w:rPr>
          <w:rFonts w:ascii="Times New Roman" w:hAnsi="Times New Roman" w:cs="Times New Roman"/>
        </w:rPr>
        <w:t xml:space="preserve"> ł</w:t>
      </w:r>
      <w:r w:rsidRPr="00F93C5C">
        <w:rPr>
          <w:rFonts w:ascii="Times New Roman" w:hAnsi="Times New Roman" w:cs="Times New Roman"/>
        </w:rPr>
        <w:t>ubinu wąskolistnego, łubinu białego, łubinu żółtego, cebuli, pora, cebuli siedmiolatki,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szalotki, szczypiorku, kapusty głowiastej, kapusty pekińskiej, sałaty, cykorii sałatowej, endywii,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szpinaku, sałaty liściowej;</w:t>
      </w:r>
    </w:p>
    <w:p w14:paraId="69FE2A43" w14:textId="170D3D96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25 metrów w przypadku uprawy pomidora, papryki, bakłażanu, marchwi, pasternaku, pietruszki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korzeniowej, buraka ćwikłowego, selera korzeniowego, rzodkiewki, szczypiorku, brokuła,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kalafiora, szparagów, kopru, selera naciowego, rukoli, truskawki, poziomki, mięty pieprzowej,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szałwii lekarskiej, tymianku właściwego, kolendry siewnej, lubczyku ogrodowego, roślin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ozdobnych</w:t>
      </w:r>
      <w:r w:rsidR="00885B15">
        <w:rPr>
          <w:rFonts w:ascii="Times New Roman" w:hAnsi="Times New Roman" w:cs="Times New Roman"/>
        </w:rPr>
        <w:t xml:space="preserve">, </w:t>
      </w:r>
      <w:r w:rsidR="00885B15" w:rsidRPr="00903A23">
        <w:rPr>
          <w:rFonts w:ascii="Times New Roman" w:hAnsi="Times New Roman" w:cs="Times New Roman"/>
        </w:rPr>
        <w:t>leśnych roślin szkółkarskich, leśnych odnowień</w:t>
      </w:r>
      <w:r w:rsidR="00D6699B" w:rsidRPr="00903A23">
        <w:rPr>
          <w:rFonts w:ascii="Times New Roman" w:hAnsi="Times New Roman" w:cs="Times New Roman"/>
        </w:rPr>
        <w:t xml:space="preserve"> i </w:t>
      </w:r>
      <w:r w:rsidR="00885B15" w:rsidRPr="00903A23">
        <w:rPr>
          <w:rFonts w:ascii="Times New Roman" w:hAnsi="Times New Roman" w:cs="Times New Roman"/>
        </w:rPr>
        <w:t>zalesień</w:t>
      </w:r>
      <w:r w:rsidRPr="00903A23">
        <w:rPr>
          <w:rFonts w:ascii="Times New Roman" w:hAnsi="Times New Roman" w:cs="Times New Roman"/>
        </w:rPr>
        <w:t>;</w:t>
      </w:r>
    </w:p>
    <w:p w14:paraId="10FAA8C4" w14:textId="417478FE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30 metrów w przypadku uprawy maliny, aronii, czarnej porzeczki, białej porzeczki, czerwonej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porzeczki, agrestu, jeżyny;</w:t>
      </w:r>
    </w:p>
    <w:p w14:paraId="75A057F9" w14:textId="758FB61C" w:rsidR="0061176A" w:rsidRPr="00F93C5C" w:rsidRDefault="0061176A" w:rsidP="00F93C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50 metrów w przypadku uprawy wiśni, czereśni, moreli, brzoskwini, śliwy, orzecha włoskiego,</w:t>
      </w:r>
      <w:r w:rsidR="00F93C5C" w:rsidRP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orzecha laskowego i borówki wysokiej.</w:t>
      </w:r>
    </w:p>
    <w:p w14:paraId="443122BE" w14:textId="77777777" w:rsidR="00F93C5C" w:rsidRDefault="00F93C5C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7E7169" w14:textId="3E650301" w:rsidR="0061176A" w:rsidRPr="00F93C5C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W celu ochrony roślin oraz stawonogów niebędących celem działania środka konieczne jest</w:t>
      </w:r>
      <w:r w:rsidR="00F93C5C">
        <w:rPr>
          <w:rFonts w:ascii="Times New Roman" w:hAnsi="Times New Roman" w:cs="Times New Roman"/>
        </w:rPr>
        <w:t xml:space="preserve"> </w:t>
      </w:r>
      <w:r w:rsidRPr="00F93C5C">
        <w:rPr>
          <w:rFonts w:ascii="Times New Roman" w:hAnsi="Times New Roman" w:cs="Times New Roman"/>
        </w:rPr>
        <w:t>wyznaczenie strefy ochronnej od terenów nieużytkowanych rolniczo o szerokości:</w:t>
      </w:r>
    </w:p>
    <w:p w14:paraId="51D173B4" w14:textId="77777777" w:rsidR="0061176A" w:rsidRPr="00F93C5C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3C5C">
        <w:rPr>
          <w:rFonts w:ascii="Times New Roman" w:hAnsi="Times New Roman" w:cs="Times New Roman"/>
        </w:rPr>
        <w:t>− 3 m w przypadku gdy środek stosowany jest za pomocą opryskiwaczy sadowniczych,</w:t>
      </w:r>
    </w:p>
    <w:p w14:paraId="6B50A0D2" w14:textId="77777777" w:rsidR="0061176A" w:rsidRDefault="0061176A" w:rsidP="00F93C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F93C5C">
        <w:rPr>
          <w:rFonts w:ascii="Times New Roman" w:hAnsi="Times New Roman" w:cs="Times New Roman"/>
        </w:rPr>
        <w:t>− 1 m w przypadku gdy środek stosowany jest za pomocą opryskiwaczy polowych.</w:t>
      </w:r>
    </w:p>
    <w:p w14:paraId="43F05C15" w14:textId="77777777" w:rsidR="0061176A" w:rsidRPr="00487746" w:rsidRDefault="0061176A" w:rsidP="006117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</w:p>
    <w:p w14:paraId="3B349ABA" w14:textId="2A44ECB6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176A">
        <w:rPr>
          <w:rFonts w:ascii="Times New Roman" w:hAnsi="Times New Roman" w:cs="Times New Roman"/>
          <w:b/>
          <w:bCs/>
        </w:rPr>
        <w:t>WARUNKI PRZECHOWYWANIA I BEZPIECZNEGO USUWANIA ŚRODKA OCHRONY</w:t>
      </w:r>
      <w:r w:rsidR="00F93C5C">
        <w:rPr>
          <w:rFonts w:ascii="Times New Roman" w:hAnsi="Times New Roman" w:cs="Times New Roman"/>
          <w:b/>
          <w:bCs/>
        </w:rPr>
        <w:t xml:space="preserve"> </w:t>
      </w:r>
      <w:r w:rsidRPr="0061176A">
        <w:rPr>
          <w:rFonts w:ascii="Times New Roman" w:hAnsi="Times New Roman" w:cs="Times New Roman"/>
          <w:b/>
          <w:bCs/>
        </w:rPr>
        <w:t>ROŚLIN I OPAKOWANIA</w:t>
      </w:r>
    </w:p>
    <w:p w14:paraId="6C20A856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Chronić przed dziećmi.</w:t>
      </w:r>
    </w:p>
    <w:p w14:paraId="3BE6D21F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Środek ochrony roślin przechowywać:</w:t>
      </w:r>
    </w:p>
    <w:p w14:paraId="250FA436" w14:textId="11DCFFC7" w:rsidR="0061176A" w:rsidRPr="0061176A" w:rsidRDefault="0061176A" w:rsidP="0061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w miejscach lub obiektach, w których zastosowano odpowiednie rozwiązania zabezpieczające</w:t>
      </w:r>
      <w:r>
        <w:rPr>
          <w:rFonts w:ascii="Times New Roman" w:hAnsi="Times New Roman" w:cs="Times New Roman"/>
        </w:rPr>
        <w:t xml:space="preserve"> </w:t>
      </w:r>
      <w:r w:rsidRPr="0061176A">
        <w:rPr>
          <w:rFonts w:ascii="Times New Roman" w:hAnsi="Times New Roman" w:cs="Times New Roman"/>
        </w:rPr>
        <w:t>przed skażeniem środowiska oraz dostępem osób trzecich,</w:t>
      </w:r>
    </w:p>
    <w:p w14:paraId="09C8140F" w14:textId="77777777" w:rsidR="0061176A" w:rsidRDefault="0061176A" w:rsidP="0061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w oryginalnych opakowaniach, w sposób uniemożliwiający kontakt z żywnością, napojami lub</w:t>
      </w:r>
      <w:r>
        <w:rPr>
          <w:rFonts w:ascii="Times New Roman" w:hAnsi="Times New Roman" w:cs="Times New Roman"/>
        </w:rPr>
        <w:t xml:space="preserve"> </w:t>
      </w:r>
      <w:r w:rsidRPr="0061176A">
        <w:rPr>
          <w:rFonts w:ascii="Times New Roman" w:hAnsi="Times New Roman" w:cs="Times New Roman"/>
        </w:rPr>
        <w:t xml:space="preserve">paszą, </w:t>
      </w:r>
    </w:p>
    <w:p w14:paraId="0AC55A41" w14:textId="125CB63E" w:rsidR="0061176A" w:rsidRPr="0061176A" w:rsidRDefault="0061176A" w:rsidP="0061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w temperaturze 0</w:t>
      </w:r>
      <w:r w:rsidRPr="0061176A">
        <w:rPr>
          <w:rFonts w:ascii="Times New Roman" w:hAnsi="Times New Roman" w:cs="Times New Roman"/>
          <w:vertAlign w:val="superscript"/>
        </w:rPr>
        <w:t>o</w:t>
      </w:r>
      <w:r w:rsidRPr="0061176A">
        <w:rPr>
          <w:rFonts w:ascii="Times New Roman" w:hAnsi="Times New Roman" w:cs="Times New Roman"/>
        </w:rPr>
        <w:t>C - 30</w:t>
      </w:r>
      <w:r w:rsidRPr="0061176A">
        <w:rPr>
          <w:rFonts w:ascii="Times New Roman" w:hAnsi="Times New Roman" w:cs="Times New Roman"/>
          <w:vertAlign w:val="superscript"/>
        </w:rPr>
        <w:t>o</w:t>
      </w:r>
      <w:r w:rsidRPr="0061176A">
        <w:rPr>
          <w:rFonts w:ascii="Times New Roman" w:hAnsi="Times New Roman" w:cs="Times New Roman"/>
        </w:rPr>
        <w:t>C,</w:t>
      </w:r>
    </w:p>
    <w:p w14:paraId="50242689" w14:textId="69B39DAE" w:rsidR="0061176A" w:rsidRPr="0061176A" w:rsidRDefault="0061176A" w:rsidP="00F93C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chronić przed dostępem wilgoci.</w:t>
      </w:r>
    </w:p>
    <w:p w14:paraId="15E73515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Zabrania się wykorzystywania opróżnionych opakowań po środkach ochrony roślin do innych celów.</w:t>
      </w:r>
    </w:p>
    <w:p w14:paraId="39F74C61" w14:textId="17789849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Niewykorzystany środek przekazać do podmiotu uprawnionego do odbierania odpadów</w:t>
      </w:r>
      <w:r>
        <w:rPr>
          <w:rFonts w:ascii="Times New Roman" w:hAnsi="Times New Roman" w:cs="Times New Roman"/>
        </w:rPr>
        <w:t xml:space="preserve"> </w:t>
      </w:r>
      <w:r w:rsidRPr="0061176A">
        <w:rPr>
          <w:rFonts w:ascii="Times New Roman" w:hAnsi="Times New Roman" w:cs="Times New Roman"/>
        </w:rPr>
        <w:t>niebezpiecznych.</w:t>
      </w:r>
    </w:p>
    <w:p w14:paraId="4B975AFE" w14:textId="525B7D63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Opróżnione opakowania po środku zwrócić do sprzedawcy środków ochrony roślin będących</w:t>
      </w:r>
      <w:r>
        <w:rPr>
          <w:rFonts w:ascii="Times New Roman" w:hAnsi="Times New Roman" w:cs="Times New Roman"/>
        </w:rPr>
        <w:t xml:space="preserve"> </w:t>
      </w:r>
      <w:r w:rsidRPr="0061176A">
        <w:rPr>
          <w:rFonts w:ascii="Times New Roman" w:hAnsi="Times New Roman" w:cs="Times New Roman"/>
        </w:rPr>
        <w:t>środkami niebezpiecznymi.</w:t>
      </w:r>
    </w:p>
    <w:p w14:paraId="401364C4" w14:textId="77777777" w:rsidR="0061176A" w:rsidRPr="00487746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8AAC9A" w14:textId="77096FD0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176A">
        <w:rPr>
          <w:rFonts w:ascii="Times New Roman" w:hAnsi="Times New Roman" w:cs="Times New Roman"/>
          <w:b/>
          <w:bCs/>
        </w:rPr>
        <w:t>PIERWSZA POMOC</w:t>
      </w:r>
    </w:p>
    <w:p w14:paraId="4B0C39C1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Antidotum: brak, stosować leczenie objawowe.</w:t>
      </w:r>
    </w:p>
    <w:p w14:paraId="2F108897" w14:textId="653250AF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W razie konieczności zasięgnięcia porady lekarza, należy pokazać pojemnik lub etykietę</w:t>
      </w:r>
      <w:r w:rsidR="00487746">
        <w:rPr>
          <w:rFonts w:ascii="Times New Roman" w:hAnsi="Times New Roman" w:cs="Times New Roman"/>
        </w:rPr>
        <w:t>.</w:t>
      </w:r>
    </w:p>
    <w:p w14:paraId="320000AB" w14:textId="77777777" w:rsidR="00487746" w:rsidRDefault="00487746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04B9D2" w14:textId="77777777" w:rsidR="00487746" w:rsidRDefault="00487746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848D6C" w14:textId="77777777" w:rsidR="00487746" w:rsidRDefault="00487746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54DCC7" w14:textId="5D599A62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Okres ważności - 3 lata</w:t>
      </w:r>
    </w:p>
    <w:p w14:paraId="5AA6828D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Data produkcji - ........</w:t>
      </w:r>
    </w:p>
    <w:p w14:paraId="40EB4745" w14:textId="77777777" w:rsidR="0061176A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Zawartość netto - ........</w:t>
      </w:r>
    </w:p>
    <w:p w14:paraId="6BAF5F77" w14:textId="1D19F910" w:rsidR="00B452F4" w:rsidRPr="0061176A" w:rsidRDefault="0061176A" w:rsidP="0061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176A">
        <w:rPr>
          <w:rFonts w:ascii="Times New Roman" w:hAnsi="Times New Roman" w:cs="Times New Roman"/>
        </w:rPr>
        <w:t>Nr partii - ........</w:t>
      </w:r>
    </w:p>
    <w:sectPr w:rsidR="00B452F4" w:rsidRPr="0061176A" w:rsidSect="00A82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56C32" w14:textId="77777777" w:rsidR="00CC127E" w:rsidRDefault="00CC127E" w:rsidP="00AA29D2">
      <w:pPr>
        <w:spacing w:after="0" w:line="240" w:lineRule="auto"/>
      </w:pPr>
      <w:r>
        <w:separator/>
      </w:r>
    </w:p>
  </w:endnote>
  <w:endnote w:type="continuationSeparator" w:id="0">
    <w:p w14:paraId="7D88B5D3" w14:textId="77777777" w:rsidR="00CC127E" w:rsidRDefault="00CC127E" w:rsidP="00AA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2512" w14:textId="77777777" w:rsidR="00121CB6" w:rsidRDefault="00121C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7591" w14:textId="01D985C0" w:rsidR="00C127F5" w:rsidRPr="00AA29D2" w:rsidRDefault="00E97D60" w:rsidP="00AA29D2">
    <w:pPr>
      <w:autoSpaceDE w:val="0"/>
      <w:autoSpaceDN w:val="0"/>
      <w:adjustRightInd w:val="0"/>
      <w:spacing w:after="0" w:line="240" w:lineRule="auto"/>
      <w:rPr>
        <w:rFonts w:ascii="TimesNewRoman,Italic" w:hAnsi="TimesNewRoman,Italic" w:cs="TimesNewRoman,Italic"/>
        <w:i/>
        <w:iCs/>
      </w:rPr>
    </w:pPr>
    <w:r>
      <w:rPr>
        <w:rFonts w:ascii="TimesNewRoman,Italic" w:hAnsi="TimesNewRoman,Italic" w:cs="TimesNewRoman,Italic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ECC49C" wp14:editId="706D47A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5d74b89b6eeca90d2f5abc1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94A1CF" w14:textId="5583CB19" w:rsidR="00E97D60" w:rsidRPr="00E97D60" w:rsidRDefault="00E97D60" w:rsidP="00E97D6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97D6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CC49C" id="_x0000_t202" coordsize="21600,21600" o:spt="202" path="m,l,21600r21600,l21600,xe">
              <v:stroke joinstyle="miter"/>
              <v:path gradientshapeok="t" o:connecttype="rect"/>
            </v:shapetype>
            <v:shape id="MSIPCMc5d74b89b6eeca90d2f5abc1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JerAIAAEYFAAAOAAAAZHJzL2Uyb0RvYy54bWysVEtv2zAMvg/YfxB02GmrnTQvZ3WKLEXW&#10;AmkbIB16lmU5NmCLqqQ0zob991GyknbdTsMuEsU3P5K6uGybmjwLbSqQKe2dxZQIySGv5Dal3x6W&#10;nyaUGMtkzmqQIqUHYejl7P27i72aij6UUOdCE3QizXSvUlpaq6ZRZHgpGmbOQAmJwgJ0wyw+9TbK&#10;Nduj96aO+nE8ivagc6WBC2OQe9UJ6cz7LwrB7X1RGGFJnVLMzfpT+zNzZzS7YNOtZqqseEiD/UMW&#10;DaskBj25umKWkZ2u/nDVVFyDgcKecWgiKIqKC18DVtOL31SzKZkSvhYEx6gTTOb/ueV3z2tNqhx7&#10;R4lkDbbodnOzXtzyYT4eZJMkGwnBWRLn/WLIMo5auTAcEfzx4WkH9vM1M+UCctG9pv140k8m40GS&#10;fAxyUW1LG6STAU5IEDxWuS0Df5gMT/x1zbhohDzadCpLACt0RwcHNzIXbXDQXWtdNUwfftPa4Ajg&#10;bAa9XrB9ABU48SnwShTHmMj86UZjr8wUEdooxMi2X6B1MAW+QabreFvoxt3YS4JyHLLDabBEawlH&#10;5ng4is97KOIo649G49hPXvRirbSxXwU0xBEp1Zi1nyf2vDIWI6LqUcUFk7Cs6toPby3JPqWj82Hs&#10;DU4StKglGroaulwdZdusDQVkkB+wLg3dUhjFlxUGXzFj10zjFmC+uNn2Ho+iBgwCgaKkBP39b3yn&#10;j8OJUkr2uFUpNU87pgUl9Y3EsU16g4FbQ/9AQr/mZkeu3DULwIXFYcOsPOl0bX0kCw3NIy7+3EVD&#10;EZMcY6Y0O5ILiy8U4MfBxXzuaVw4xexKbhR3rh2MDtKH9pFpFXC32LE7OO4dm76Bv9PtGjDfWSgq&#10;3xsHbIdmwBuX1bcsfCzuN3j99lov39/sF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5+YCXqwCAABGBQAADgAAAAAA&#10;AAAAAAAAAAAuAgAAZHJzL2Uyb0RvYy54bWxQSwECLQAUAAYACAAAACEAg7KPK9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5894A1CF" w14:textId="5583CB19" w:rsidR="00E97D60" w:rsidRPr="00E97D60" w:rsidRDefault="00E97D60" w:rsidP="00E97D6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97D60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27F5">
      <w:rPr>
        <w:rFonts w:ascii="TimesNewRoman,Italic" w:hAnsi="TimesNewRoman,Italic" w:cs="TimesNewRoman,Italic"/>
        <w:i/>
        <w:iCs/>
      </w:rPr>
      <w:t xml:space="preserve">                      Etykieta środka ochrony roślin Signum 33 WG, załącznik nr 1 do zezwolenia MRiRW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DFEF" w14:textId="77777777" w:rsidR="00121CB6" w:rsidRDefault="00121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03437" w14:textId="77777777" w:rsidR="00CC127E" w:rsidRDefault="00CC127E" w:rsidP="00AA29D2">
      <w:pPr>
        <w:spacing w:after="0" w:line="240" w:lineRule="auto"/>
      </w:pPr>
      <w:r>
        <w:separator/>
      </w:r>
    </w:p>
  </w:footnote>
  <w:footnote w:type="continuationSeparator" w:id="0">
    <w:p w14:paraId="7C30D41E" w14:textId="77777777" w:rsidR="00CC127E" w:rsidRDefault="00CC127E" w:rsidP="00AA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1C5E" w14:textId="77777777" w:rsidR="00121CB6" w:rsidRDefault="00121C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6871" w14:textId="77777777" w:rsidR="00121CB6" w:rsidRDefault="00121C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A986" w14:textId="77777777" w:rsidR="00121CB6" w:rsidRDefault="00121C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4D83"/>
    <w:multiLevelType w:val="hybridMultilevel"/>
    <w:tmpl w:val="9CEC9D3A"/>
    <w:lvl w:ilvl="0" w:tplc="9C445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A36CC"/>
    <w:multiLevelType w:val="hybridMultilevel"/>
    <w:tmpl w:val="EE5A7192"/>
    <w:lvl w:ilvl="0" w:tplc="4D02B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0A47"/>
    <w:multiLevelType w:val="hybridMultilevel"/>
    <w:tmpl w:val="059211B0"/>
    <w:lvl w:ilvl="0" w:tplc="9C445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D2"/>
    <w:rsid w:val="00092345"/>
    <w:rsid w:val="000A67BC"/>
    <w:rsid w:val="000B4E08"/>
    <w:rsid w:val="000C110B"/>
    <w:rsid w:val="000D1B07"/>
    <w:rsid w:val="00115424"/>
    <w:rsid w:val="00121CB6"/>
    <w:rsid w:val="001A3430"/>
    <w:rsid w:val="002034DC"/>
    <w:rsid w:val="002B7EB5"/>
    <w:rsid w:val="00371C1D"/>
    <w:rsid w:val="003750CA"/>
    <w:rsid w:val="00487746"/>
    <w:rsid w:val="004D19F3"/>
    <w:rsid w:val="00587B57"/>
    <w:rsid w:val="0061176A"/>
    <w:rsid w:val="00666EF1"/>
    <w:rsid w:val="006A3911"/>
    <w:rsid w:val="007165B6"/>
    <w:rsid w:val="00797C4D"/>
    <w:rsid w:val="00836CA7"/>
    <w:rsid w:val="00855008"/>
    <w:rsid w:val="008827DC"/>
    <w:rsid w:val="00885B15"/>
    <w:rsid w:val="00903A23"/>
    <w:rsid w:val="009122DA"/>
    <w:rsid w:val="009C3A5E"/>
    <w:rsid w:val="009D33AF"/>
    <w:rsid w:val="00A1572E"/>
    <w:rsid w:val="00A825F1"/>
    <w:rsid w:val="00AA29D2"/>
    <w:rsid w:val="00AC39A5"/>
    <w:rsid w:val="00AE4B29"/>
    <w:rsid w:val="00B452F4"/>
    <w:rsid w:val="00B60D12"/>
    <w:rsid w:val="00B63C03"/>
    <w:rsid w:val="00BC64BF"/>
    <w:rsid w:val="00C053C5"/>
    <w:rsid w:val="00C127F5"/>
    <w:rsid w:val="00CC127E"/>
    <w:rsid w:val="00D44BB7"/>
    <w:rsid w:val="00D6699B"/>
    <w:rsid w:val="00DE792E"/>
    <w:rsid w:val="00E07746"/>
    <w:rsid w:val="00E74DAA"/>
    <w:rsid w:val="00E97D60"/>
    <w:rsid w:val="00EA55A5"/>
    <w:rsid w:val="00F73F94"/>
    <w:rsid w:val="00F93C5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72E31"/>
  <w15:chartTrackingRefBased/>
  <w15:docId w15:val="{80FAF2B9-6F44-482B-824F-5884A6F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D2"/>
  </w:style>
  <w:style w:type="paragraph" w:styleId="Stopka">
    <w:name w:val="footer"/>
    <w:basedOn w:val="Normalny"/>
    <w:link w:val="StopkaZnak"/>
    <w:uiPriority w:val="99"/>
    <w:unhideWhenUsed/>
    <w:rsid w:val="00AA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D2"/>
  </w:style>
  <w:style w:type="table" w:styleId="Tabela-Siatka">
    <w:name w:val="Table Grid"/>
    <w:basedOn w:val="Standardowy"/>
    <w:uiPriority w:val="39"/>
    <w:rsid w:val="0037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5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1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9E1B-08FC-4F97-9885-D118D40D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6049</Words>
  <Characters>36298</Characters>
  <Application>Microsoft Office Word</Application>
  <DocSecurity>4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Ciarka</dc:creator>
  <cp:keywords/>
  <dc:description/>
  <cp:lastModifiedBy>monika.stepien@basf.com</cp:lastModifiedBy>
  <cp:revision>2</cp:revision>
  <dcterms:created xsi:type="dcterms:W3CDTF">2021-06-21T08:52:00Z</dcterms:created>
  <dcterms:modified xsi:type="dcterms:W3CDTF">2021-06-21T08:52:00Z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StepieM@BASFAD.BASF.NET</vt:lpwstr>
  </property>
  <property fmtid="{D5CDD505-2E9C-101B-9397-08002B2CF9AE}" pid="5" name="MSIP_Label_c8c00982-80e1-41e6-a03a-12f4ca954faf_SetDate">
    <vt:lpwstr>2021-06-21T08:51:34.6213393Z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52294bbb-7715-4699-b746-c546d04fca15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StepieM@BASFAD.BASF.NET</vt:lpwstr>
  </property>
  <property fmtid="{D5CDD505-2E9C-101B-9397-08002B2CF9AE}" pid="13" name="MSIP_Label_06530cf4-8573-4c29-a912-bbcdac835909_SetDate">
    <vt:lpwstr>2021-06-21T08:51:34.6213393Z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52294bbb-7715-4699-b746-c546d04fca15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